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14.3.3</w:t>
      </w:r>
    </w:p>
    <w:p>
      <w:pPr>
        <w:jc w:val="left"/>
      </w:pPr>
      <w:r>
        <w:rPr>
          <w:sz w:val="20"/>
        </w:rPr>
        <w:t>Summary of Serious Adverse Events</w:t>
      </w:r>
    </w:p>
    <w:p>
      <w:pPr>
        <w:jc w:val="left"/>
      </w:pPr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(N=86)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Low Dose</w:t>
              <w:br/>
              <w:t>(N=96)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Subjects with at least one SAE,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 (1.4)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NERVOUS SYSTEM DISORDERS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 (1.4)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SYNCOPE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 (2.1)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 xml:space="preserve">  PARTIAL SEIZURES WITH SECONDARY GENERALISATION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 (1.4)</w:t>
            </w:r>
          </w:p>
        </w:tc>
      </w:tr>
    </w:tbl>
    <w:p>
      <w:r>
        <w:rPr>
          <w:i/>
          <w:sz w:val="16"/>
        </w:rPr>
        <w:t>Source: ADAE (TRTEMFL='Y', AESER='Y')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