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Table 14.3.4</w:t>
      </w:r>
    </w:p>
    <w:p>
      <w:r>
        <w:rPr>
          <w:sz w:val="20"/>
        </w:rPr>
        <w:t>Treatment-Emergent Adverse Events by Maximum Severity</w:t>
      </w:r>
    </w:p>
    <w:p>
      <w:r>
        <w:rPr>
          <w:i/>
          <w:sz w:val="18"/>
        </w:rPr>
        <w:t>Safety Population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Placebo</w:t>
              <w:br/>
              <w:t>(N=86)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Xanomeline</w:t>
              <w:br/>
              <w:t>Low Dose</w:t>
              <w:br/>
              <w:t>(N=96)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Xanomeline</w:t>
              <w:br/>
              <w:t>High Dose</w:t>
              <w:br/>
              <w:t>(N=72)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Mild, n (%)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58 (67.4)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64 (66.7)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64 (88.9)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Moderate, n (%)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25 (29.1)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58 (60.4)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46 (63.9)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Severe, n (%)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5 (5.8)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16 (16.7)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18"/>
              </w:rPr>
              <w:t>8 (11.1)</w:t>
            </w:r>
          </w:p>
        </w:tc>
      </w:tr>
    </w:tbl>
    <w:p>
      <w:r>
        <w:rPr>
          <w:i/>
          <w:sz w:val="16"/>
        </w:rPr>
        <w:t>Source: ADAE (TRTEMFL='Y')  |  Study CDISCPILOT01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