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14.2.1</w:t>
      </w:r>
    </w:p>
    <w:p>
      <w:pPr>
        <w:pStyle w:val="Heading2"/>
      </w:pPr>
      <w:r>
        <w:rPr>
          <w:sz w:val="22"/>
        </w:rPr>
        <w:t>Extent of Exposure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Mean (weeks)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Median (weeks)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Min (weeks)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Max (weeks)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