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28"/>
        </w:rPr>
        <w:t>Table 14.7.2</w:t>
      </w:r>
    </w:p>
    <w:p>
      <w:pPr>
        <w:pStyle w:val="Heading2"/>
      </w:pPr>
      <w:r>
        <w:rPr>
          <w:sz w:val="22"/>
        </w:rPr>
        <w:t>Efficacy: Progression-Free Survival (PFS)</w:t>
      </w:r>
    </w:p>
    <w:p>
      <w:r>
        <w:rPr>
          <w:sz w:val="18"/>
        </w:rPr>
        <w:t>Study: Phase III Randomized Oncology Trial</w:t>
        <w:br/>
        <w:t>Treatment: Drug A 10mg vs Drug B 20mg vs Placebo</w:t>
        <w:br/>
        <w:t>Generated: 2026-03-04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Treatment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Events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Censored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Median (months)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95% CI Lower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95% CI Upper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Drug A 10mg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14.6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11.8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16.3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Drug B 20mg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13.5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10.7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15.2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14.4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11.6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16.1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