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/>
          <w:i w:val="0"/>
          <w:color w:val="2E74B5"/>
          <w:sz w:val="20"/>
        </w:rPr>
        <w:t>PLANO DE IMPLEMENTAÇÃO</w:t>
      </w:r>
    </w:p>
    <w:p>
      <w:pPr>
        <w:spacing w:before="0" w:after="100" w:line="276" w:lineRule="auto"/>
      </w:pPr>
      <w:r>
        <w:rPr>
          <w:rFonts w:ascii="Arial" w:hAnsi="Arial"/>
          <w:b/>
          <w:i w:val="0"/>
          <w:color w:val="17324D"/>
          <w:sz w:val="46"/>
        </w:rPr>
        <w:t>Financeiro Asaas: vendas, contas a receber e caixa</w:t>
      </w:r>
    </w:p>
    <w:p>
      <w:pPr>
        <w:spacing w:before="0" w:after="360" w:line="276" w:lineRule="auto"/>
      </w:pPr>
      <w:r>
        <w:rPr>
          <w:rFonts w:ascii="Arial" w:hAnsi="Arial"/>
          <w:b w:val="0"/>
          <w:i w:val="0"/>
          <w:color w:val="5B6673"/>
          <w:sz w:val="26"/>
        </w:rPr>
        <w:t>Arquitetura, correções de consistência e roteiro de execução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/>
                <w:b/>
                <w:i w:val="0"/>
                <w:color w:val="17324D"/>
                <w:sz w:val="18"/>
              </w:rPr>
              <w:t>Produto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Lunari Studio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/>
                <w:b/>
                <w:i w:val="0"/>
                <w:color w:val="17324D"/>
                <w:sz w:val="18"/>
              </w:rPr>
              <w:t>Escopo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Integração Asaas, Workflow, cobranças e Financeiro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/>
                <w:b/>
                <w:i w:val="0"/>
                <w:color w:val="17324D"/>
                <w:sz w:val="18"/>
              </w:rPr>
              <w:t>Status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Plano aprovado para execução por fases; nenhuma mudança aplicada neste documento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/>
                <w:b/>
                <w:i w:val="0"/>
                <w:color w:val="17324D"/>
                <w:sz w:val="18"/>
              </w:rPr>
              <w:t>Próxima etapa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Fase 0 - auditoria e inventário de dados, mediante autorização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DECISÃO DE ARQUITETURA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O Workflow continuará sendo a fonte das vendas por competência. O Asaas passará a alimentar contas a receber e caixa, sem transformar taxas, antecipações ou valores de parcelamento em receita de sessão.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1. Resultado esperado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A1A1A"/>
          <w:sz w:val="21"/>
        </w:rPr>
        <w:t>O Lunari deverá apresentar três leituras financeiras distintas, mas vinculadas pela mesma venda: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2951"/>
        <w:gridCol w:w="4464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Leitura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Fonte canônica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Uso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Venda comercial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clientes_sessoes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Métricas de vendas, ticket médio e faturamento por período da sessão.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Contas a receber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cobrancas + cobranca_parcelas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Saldo do cliente, parcelas, vencimentos e quitação.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Caixa realizado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Novo razão de movimentos do gateway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Créditos, tarifas, antecipações, estornos e saldo efetivo.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2. Princípios obrigatórios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A venda de uma sessão não é alterada pelo calendário de recebimento.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Uma parcela pode estar paga pelo cliente e ainda não estar disponível em caixa.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Toda tarifa é custo, recuperação de custo ou ajuste; nunca receita da sessão.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Eventos e extrato do Asaas são a autoridade para valores e datas efetivos do gateway.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Configurações de pagamento valem para novas cobranças e são congeladas em cada cobrança emitida.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Reprocessar um webhook ou uma sincronização nunca pode criar uma segunda movimentação.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3. Fluxo-alvo: da venda ao dinheiro disponível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5"/>
        <w:gridCol w:w="2448"/>
        <w:gridCol w:w="2880"/>
        <w:gridCol w:w="2376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Momento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Venda/Workflow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A receber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Caixa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Sessão vendida por R$ 1.500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Venda de R$ 1.500 na competência da sessão.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Recebível principal vinculado à sessão, quando a venda estiver comercialmente confirmada.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Nenhuma entrada.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Cobrança enviada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 mudança.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Cobrança emitida e política de taxa congelada.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Nenhuma entrada.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Cliente escolhe 6x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 mudança.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Seis parcelas reais, com IDs, vencimentos e principal alocado.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Nenhuma entrada.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Cliente paga uma parcela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Atualiza indicador de quitação pelo principal pago.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Parcela quitada pelo cliente.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Aguardando disponibilidade, se aplicável.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Asaas disponibiliza/antecipa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 mudança.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Parcela recebe a situação de disponibilidade/antecipação.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Crédito e taxa reais registrados.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Estorno ou chargeback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Preserva venda, salvo decisão comercial explícita.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Parcela é revertida ou ajustada.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Débito/reversão registrada.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EXEMPLO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Uma sessão de R$ 1.500 em 6x continua sendo uma única venda de R$ 1.500. As seis parcelas formam o contas a receber. O fluxo de caixa só mostra cada crédito líquido na data em que o Asaas o disponibiliza ou antecipa.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4. Antecipação: regra de negócio e comportamento externo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A1A1A"/>
          <w:sz w:val="21"/>
        </w:rPr>
        <w:t>A antecipação será separada em configuração da conta e fato financeiro. Ela não será mais uma opção nos painéis de geração de cobrança.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76"/>
        <w:gridCol w:w="3600"/>
        <w:gridCol w:w="3384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Situação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Regra do Lunari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Registro esperado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Antecipação automática ativa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Configuração global da conta Asaas, gerida em Configurações de Pagamento.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Snapshot da política na cobrança; eventos e extrato confirmam valores reais.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Antecipação automática inativa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Lunari não pede antecipação nem adiciona previsão de taxa ao cliente.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Parcelas seguem o cronograma normal até outro evento real.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Fotógrafo antecipa direto no Asaas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Nunca é bloqueado, mesmo que a configuração local esteja inativa.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Evento externo cria/atualiza antecipação, taxa e crédito reais.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Antecipação negada/cancelada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Nenhuma alteração na venda ou no principal.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Atualiza o status da antecipação; nenhum crédito é reconhecido.</w:t>
            </w:r>
          </w:p>
        </w:tc>
      </w:tr>
    </w:tbl>
    <w:p>
      <w:pPr>
        <w:spacing w:after="20"/>
      </w:pPr>
    </w:p>
    <w:p>
      <w:pPr>
        <w:spacing w:before="0" w:after="100" w:line="276" w:lineRule="auto"/>
      </w:pPr>
      <w:r>
        <w:rPr>
          <w:rFonts w:ascii="Arial" w:hAnsi="Arial"/>
          <w:b w:val="0"/>
          <w:i/>
          <w:color w:val="5B6673"/>
          <w:sz w:val="20"/>
        </w:rPr>
        <w:t>Importante: se a política de repasse estava inativa quando a cobrança foi emitida, uma antecipação posterior feita no Asaas será custo real do fotógrafo. O Lunari não cobrará o cliente retroativamente.</w:t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5. Configurações de pagamento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A1A1A"/>
          <w:sz w:val="21"/>
        </w:rPr>
        <w:t>Consolidar a configuração Asaas em uma única fonte e remover os controles de taxa e antecipação de todos os painéis de cobrança.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Meios de pagamento habilitados e limite de parcelas.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Política padrão de processamento: absorver ou repassar ao cliente.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Antecipação automática Asaas: estado real, elegibilidade e acionamento global.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Política padrão de repasse de antecipação, habilitada apenas quando a antecipação automática estiver ativa.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Consulta de taxas para estimativa comercial, sem substituir a taxa efetivamente cobrada pelo Asaas.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6. Modelo de dados proposto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A1A1A"/>
          <w:sz w:val="21"/>
        </w:rPr>
        <w:t>O objetivo é preservar dados atuais, explicitar seus papéis e acrescentar um razão auditável de gateway.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168"/>
        <w:gridCol w:w="396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Componente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Papel após a mudança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Observações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clientes_sessoes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Venda comercial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Mantém valor da sessão, competência e métricas de vendas.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cobrancas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Documento-pai do recebível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Congela principal, valor cobrado, origem, política e vínculo comercial.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cobranca_parcelas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Agenda de parcelas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Uma linha por parcela Asaas, com IDs, vencimento, quitação e disponibilidade.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gateway_events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Caixa de entrada idempotente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Armazena evento bruto, ID Asaas, processamento e falhas.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gateway_anticipations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Ciclo de vida da antecipação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Mantém ID, parcela/cobrança, status, tarifa, líquido e datas.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gateway_cash_movements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Razão de caixa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Uma linha por impacto efetivo no saldo do gateway, com valor assinado.</w:t>
            </w:r>
          </w:p>
        </w:tc>
      </w:tr>
    </w:tbl>
    <w:p>
      <w:pPr>
        <w:spacing w:after="20"/>
      </w:pPr>
    </w:p>
    <w:p>
      <w:pPr>
        <w:spacing w:before="200" w:after="120"/>
      </w:pPr>
      <w:r>
        <w:rPr>
          <w:rFonts w:ascii="Arial" w:hAnsi="Arial"/>
          <w:b/>
          <w:i w:val="0"/>
          <w:color w:val="17324D"/>
          <w:sz w:val="24"/>
        </w:rPr>
        <w:t>Campos financeiros explícitos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valor_principal: parcela ou total que pertence à venda de serviço.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valor_cobrado_cliente: total apresentado e pago pelo cliente, incluindo eventual repasse.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taxa_processamento_real e taxa_antecipacao_real: valores provenientes da conciliação Asaas.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valor_liquido_creditado: efeito financeiro real; não é receita comercial.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fee_policy_snapshot: configuração usada quando a cobrança foi emitida.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source_event_id e provider_transaction_id: chaves para rastreabilidade e deduplicação.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B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REGRA CONTÁBIL FUNCIONAL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O valor principal é receita comercial. Taxa absorvida é despesa. Taxa repassada é recuperação de custo, apresentada separadamente. O caixa pode receber um valor líquido diferente, sem alterar a receita da sessão.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7. Correções técnicas necessárias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104"/>
        <w:gridCol w:w="5256"/>
      </w:tblGrid>
      <w:tr>
        <w:trPr>
          <w:tblHeader w:val="true"/>
        </w:trP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Problema atual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Correção</w:t>
            </w:r>
          </w:p>
        </w:tc>
      </w:tr>
      <w:t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Cobrança-pai marcada como paga com uma única parcela.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Status da cobrança será derivado da soma das parcelas, sem sobrescrita pelo webhook.</w:t>
            </w:r>
          </w:p>
        </w:tc>
      </w:tr>
      <w:t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Uma transação automática representa todo o parcelamento.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Cada parcela e cada movimento de caixa terão registros próprios.</w:t>
            </w:r>
          </w:p>
        </w:tc>
      </w:tr>
      <w:t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Deduplicação por tipo de evento e pagamento.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Deduplicação pelo ID único do evento Asaas e pela transação financeira do extrato.</w:t>
            </w:r>
          </w:p>
        </w:tc>
      </w:tr>
      <w:t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Taxa inferida pelo valor líquido ou intenção do usuário.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Taxa real vem de antecipação e extrato Asaas; política apenas classifica o repasse.</w:t>
            </w:r>
          </w:p>
        </w:tc>
      </w:tr>
      <w:t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Checkout relê configuração atual depois de a cobrança ser enviada.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Checkout recebe o snapshot da cobrança, não as preferências atuais.</w:t>
            </w:r>
          </w:p>
        </w:tc>
      </w:tr>
      <w:tr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Parcelamento criado com campos incompatíveis.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Usar somente installmentCount + installmentValue ou totalValue para 2+ parcelas.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8. Webhooks e conciliação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A1A1A"/>
          <w:sz w:val="21"/>
        </w:rPr>
        <w:t>O webhook será rápido, autenticado, persistente e idempotente. O processamento financeiro ocorrerá a partir do evento salvo e poderá ser reexecutado com segurança.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5"/>
        <w:gridCol w:w="4896"/>
        <w:gridCol w:w="2808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Grupo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Eventos mínimos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Efeito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Cobranças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CREATED, UPDATED, CONFIRMED, RECEIVED, OVERDUE, DELETED, RESTORED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Atualiza cobrança, parcela e quitação do cliente.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Reversões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REFUNDED, PARTIALLY_REFUNDED, CHARGEBACK e reversões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Cria movimentos negativos e reabre/ajusta o recebível.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Antecipações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RECEIVABLE_ANTICIPATION_SCHEDULED, PENDING, CREDITED, DEBITED, CANCELLED, DENIED, OVERDUE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Atualiza antecipação e disponibilidade real de caixa.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Extrato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GET /v3/financialTransactions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Concilia créditos, taxas, antecipações e reversões que impactaram saldo.</w:t>
            </w:r>
          </w:p>
        </w:tc>
      </w:tr>
    </w:tbl>
    <w:p>
      <w:pPr>
        <w:spacing w:after="20"/>
      </w:pPr>
    </w:p>
    <w:p>
      <w:pPr>
        <w:spacing w:before="200" w:after="120"/>
      </w:pPr>
      <w:r>
        <w:rPr>
          <w:rFonts w:ascii="Arial" w:hAnsi="Arial"/>
          <w:b/>
          <w:i w:val="0"/>
          <w:color w:val="17324D"/>
          <w:sz w:val="24"/>
        </w:rPr>
        <w:t>Regras de robustez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Validar o header asaas-access-token com segredo exclusivo por integração.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Persistir o payload primeiro e responder HTTP 2xx sem aguardar cálculos pesados.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Permitir eventos repetidos e fora de ordem sem duplicar movimento ou regredir estado.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Conciliar periodicamente cobranças, antecipações e extrato com paginação.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Classificar movimentações não vinculadas ao Lunari como não conciliadas; nunca anexá-las automaticamente a uma sessão.</w:t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9. Fases de implementação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2"/>
        <w:gridCol w:w="3096"/>
        <w:gridCol w:w="5472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Fase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Objetivo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Saída / portão de aprovação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Auditoria e inventário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Relatório de dados atuais, inconsistências e volume de migração. Nenhuma escrita de negócio.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Schema compatível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Novas tabelas/colunas e restrições, sem alterar telas ou lançamentos existentes.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Emissão e ingestão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Snapshot de política, parcelas, webhooks e antecipações com flag interna.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Backfill e reconciliação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Histórico conciliado e divergências classificadas, sem apagar legado.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Corte financeiro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Novo razão alimenta fluxo de caixa; prevenção de duplicidade ativa.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Limpeza controlada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Remoção de cálculos e controles legados após período de observação.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10. Fase 0 - auditoria e inventário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ESCOPO DA FASE 0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A Fase 0 é somente leitura. Ela não modifica cobrança, sessão, integração, webhook, dados financeiros ou configuração do fotógrafo.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A1A1A"/>
          <w:sz w:val="21"/>
        </w:rPr>
        <w:t>Objetivo: medir o estado real do banco e da integração antes de definir a migração e o corte de produção.</w:t>
      </w:r>
    </w:p>
    <w:p>
      <w:pPr>
        <w:spacing w:before="200" w:after="120"/>
      </w:pPr>
      <w:r>
        <w:rPr>
          <w:rFonts w:ascii="Arial" w:hAnsi="Arial"/>
          <w:b/>
          <w:i w:val="0"/>
          <w:color w:val="17324D"/>
          <w:sz w:val="24"/>
        </w:rPr>
        <w:t>Atividades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Inventariar cobranças Asaas por status, parcela, finalidade, valor, IDs de provider e período.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Comparar cobrancas, cobranca_parcelas, clientes_transacoes e extrato_unificado para localizar duplicidades e lacunas.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Identificar cobranças parceladas cujo status-pai diverge das parcelas.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Medir transações automáticas de valor total em vendas parceladas.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Identificar taxas incluídas em receitas, taxa sem origem e valores líquidos incompatíveis.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Mapear todas as telas e funções que geram cobrança, incluindo checkout público, Workflow, Agenda, Financeiro e galerias.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Validar integrações Asaas ativas, ambiente, webhook cadastrado, eventos assinados e cobertura de antecipação.</w:t>
      </w:r>
    </w:p>
    <w:p>
      <w:pPr>
        <w:pStyle w:val="ListNumber"/>
        <w:spacing w:after="8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Consultar, em amostra controlada, pagamentos, parcelas, antecipações e extrato Asaas para confirmar a estratégia de conciliação.</w:t>
      </w:r>
    </w:p>
    <w:p>
      <w:pPr>
        <w:spacing w:before="200" w:after="120"/>
      </w:pPr>
      <w:r>
        <w:rPr>
          <w:rFonts w:ascii="Arial" w:hAnsi="Arial"/>
          <w:b/>
          <w:i w:val="0"/>
          <w:color w:val="17324D"/>
          <w:sz w:val="24"/>
        </w:rPr>
        <w:t>Entregáveis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Entregável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Conteúdo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Inventário de integridade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Contagens, categorias de inconsistência, impacto financeiro e amostras técnicas.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Mapa de origem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Qual tabela, função ou tela cria cada tipo de cobrança e lançamento.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Plano de migração confirmado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Regras de backfill, exceções, ordem de implantação e estratégia de rollback.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Matriz de risco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Dados que exigem revisão humana antes de qualquer alteração.</w:t>
            </w:r>
          </w:p>
        </w:tc>
      </w:tr>
    </w:tbl>
    <w:p>
      <w:pPr>
        <w:spacing w:after="20"/>
      </w:pPr>
    </w:p>
    <w:p>
      <w:pPr>
        <w:spacing w:before="200" w:after="120"/>
      </w:pPr>
      <w:r>
        <w:rPr>
          <w:rFonts w:ascii="Arial" w:hAnsi="Arial"/>
          <w:b/>
          <w:i w:val="0"/>
          <w:color w:val="17324D"/>
          <w:sz w:val="24"/>
        </w:rPr>
        <w:t>Critérios para encerrar a Fase 0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Nenhuma descoberta depende de suposição não verificada sobre dados de produção.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Todas as rotas de criação de cobrança estão inventariadas.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Há quantificação das duplicidades e inconsistências que a migração deverá tratar.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A estratégia para antecipação externa foi validada contra eventos e dados reais do Asaas.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O próximo passo possui escopo, risco e plano de reversão explícitos para aprovação.</w:t>
      </w: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11. Testes e critérios de aceite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71"/>
        <w:gridCol w:w="5688"/>
      </w:tblGrid>
      <w:tr>
        <w:trPr>
          <w:tblHeader w:val="true"/>
        </w:trP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Cenário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19"/>
              </w:rPr>
              <w:t>Resultado obrigatório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Venda de R$ 1.500 em 6x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Uma venda no Workflow; seis parcelas no receber; créditos por data real no caixa.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Antecipação feita no Asaas com configuração local inativa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Antecipação externa e taxa real registradas, sem mudar venda ou cobrar cliente retroativamente.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Taxa repassada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Não aumenta receita comercial; aparece como recuperação de custo separada.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Estorno parcial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Movimento negativo único, parcela ajustada e nenhuma duplicidade.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Webhook repetido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Nenhuma segunda parcela, antecipação ou movimentação de caixa.</w:t>
            </w:r>
          </w:p>
        </w:tc>
      </w:tr>
      <w:t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Mudança futura de configuração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Cobranças já emitidas permanecem com o snapshot original.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Arial" w:hAnsi="Arial"/>
          <w:b/>
          <w:i w:val="0"/>
          <w:color w:val="2E74B5"/>
          <w:sz w:val="30"/>
        </w:rPr>
        <w:t>12. Referências Asaas consultadas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Eventos para cobranças - https://docs.asaas.com/docs/webhook-para-cobrancas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Eventos para antecipações - https://docs.asaas.com/docs/webhook-para-antecipacoes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Criar uma cobrança parcelada - https://docs.asaas.com/docs/criar-uma-cobranca-parcelada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Listar antecipações - https://docs.asaas.com/reference/listar-antecipacoes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Recuperar extrato financeiro - https://docs.asaas.com/reference/recuperar-extrato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i w:val="0"/>
          <w:color w:val="1A1A1A"/>
          <w:sz w:val="21"/>
        </w:rPr>
        <w:t>Recuperar status da antecipação automática - https://docs.asaas.com/reference/recuperar-status-da-antecipacao-automatica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673"/>
        <w:sz w:val="16"/>
      </w:rPr>
      <w:t>Documento de planejamento - versão 1.0 - 28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B6673"/>
        <w:sz w:val="17"/>
      </w:rPr>
      <w:t>LUNARI STUDIO  |  PLANO FINANCEIRO ASAAS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Financeiro Asaas - Lunari Studio</dc:title>
  <dc:subject>Separação entre vendas, contas a receber e fluxo de caixa</dc:subject>
  <dc:creator>Lunari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