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6683C">
      <w:pPr>
        <w:keepNext/>
        <w:spacing w:before="1600" w:line="360" w:lineRule="auto"/>
        <w:jc w:val="center"/>
        <w:rPr>
          <w:rFonts w:hint="eastAsia" w:ascii="微软雅黑" w:hAnsi="微软雅黑" w:eastAsia="微软雅黑"/>
          <w:b/>
          <w:sz w:val="44"/>
          <w:szCs w:val="44"/>
        </w:rPr>
      </w:pPr>
      <w:r>
        <w:rPr>
          <w:rFonts w:hint="eastAsia" w:ascii="微软雅黑" w:hAnsi="微软雅黑" w:eastAsia="微软雅黑"/>
          <w:b/>
          <w:sz w:val="44"/>
          <w:szCs w:val="44"/>
        </w:rPr>
        <w:t>编程作业2</w:t>
      </w:r>
      <w:r>
        <w:rPr>
          <w:rFonts w:ascii="微软雅黑" w:hAnsi="微软雅黑" w:eastAsia="微软雅黑"/>
          <w:b/>
          <w:sz w:val="44"/>
          <w:szCs w:val="44"/>
        </w:rPr>
        <w:t xml:space="preserve"> </w:t>
      </w:r>
      <w:r>
        <w:rPr>
          <w:rFonts w:hint="eastAsia" w:ascii="微软雅黑" w:hAnsi="微软雅黑" w:eastAsia="微软雅黑"/>
          <w:b/>
          <w:sz w:val="44"/>
          <w:szCs w:val="44"/>
        </w:rPr>
        <w:t>建立</w:t>
      </w:r>
      <w:r>
        <w:rPr>
          <w:rFonts w:ascii="微软雅黑" w:hAnsi="微软雅黑" w:eastAsia="微软雅黑"/>
          <w:b/>
          <w:sz w:val="44"/>
          <w:szCs w:val="44"/>
        </w:rPr>
        <w:t>3D</w:t>
      </w:r>
      <w:r>
        <w:rPr>
          <w:rFonts w:hint="eastAsia" w:ascii="微软雅黑" w:hAnsi="微软雅黑" w:eastAsia="微软雅黑"/>
          <w:b/>
          <w:sz w:val="44"/>
          <w:szCs w:val="44"/>
        </w:rPr>
        <w:t>场景并进行漫游观察</w:t>
      </w:r>
    </w:p>
    <w:p w14:paraId="11C044B7">
      <w:pPr>
        <w:spacing w:line="360" w:lineRule="auto"/>
        <w:jc w:val="center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第 4 组</w:t>
      </w:r>
    </w:p>
    <w:p w14:paraId="223F64B1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 xml:space="preserve">组长：  学号 </w:t>
      </w:r>
      <w:bookmarkStart w:id="0" w:name="_GoBack"/>
      <w:bookmarkEnd w:id="0"/>
    </w:p>
    <w:p w14:paraId="2E358655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>组员：  学号</w:t>
      </w:r>
    </w:p>
    <w:p w14:paraId="65DF34FC">
      <w:pPr>
        <w:spacing w:line="360" w:lineRule="auto"/>
        <w:jc w:val="center"/>
        <w:rPr>
          <w:rFonts w:hint="eastAsia" w:ascii="微软雅黑" w:hAnsi="微软雅黑" w:eastAsia="微软雅黑"/>
          <w:color w:val="FF0000"/>
        </w:rPr>
      </w:pPr>
      <w:r>
        <w:rPr>
          <w:rFonts w:hint="eastAsia" w:ascii="微软雅黑" w:hAnsi="微软雅黑" w:eastAsia="微软雅黑"/>
        </w:rPr>
        <w:t>组员：  学号</w:t>
      </w:r>
    </w:p>
    <w:p w14:paraId="0AB8C366">
      <w:pPr>
        <w:spacing w:line="360" w:lineRule="auto"/>
        <w:jc w:val="center"/>
        <w:rPr>
          <w:rFonts w:hint="eastAsia" w:ascii="微软雅黑" w:hAnsi="微软雅黑" w:eastAsia="微软雅黑"/>
          <w:b/>
          <w:sz w:val="27"/>
        </w:rPr>
      </w:pPr>
      <w:r>
        <w:rPr>
          <w:rFonts w:hint="eastAsia" w:ascii="微软雅黑" w:hAnsi="微软雅黑" w:eastAsia="微软雅黑"/>
        </w:rPr>
        <w:t>组员：  学号</w:t>
      </w:r>
    </w:p>
    <w:p w14:paraId="0620AF61">
      <w:r>
        <w:br w:type="page"/>
      </w:r>
    </w:p>
    <w:p w14:paraId="2295CD6C">
      <w:pPr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1 实验概述</w:t>
      </w:r>
    </w:p>
    <w:p w14:paraId="4B2DF5B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本实验在给定的 WebGL 程序框架上，围绕顶点着色器中的 P·V·M 变换链完成四部分基本任务：墨西哥帽几何建模、模型变换矩阵 M、观察变换矩阵 V 与投影变换矩阵 P。在基本任务之外，程序还实现了鼠标拖动的虚拟跟踪球、平移/旋转/缩放的累积变换，以及接近常用三维软件的相机交互方式；界面布局与场景坐标系也一并重做，用于直观展示当前姿态与空间尺度。</w:t>
      </w:r>
    </w:p>
    <w:p w14:paraId="2DBA125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程序运行于浏览器 WebGL 2.0 环境。几何数据与顶点颜色全部在 JavaScript 端生成，写入两个静态顶点缓冲区后一次上传；着色器只承担矩阵串联与顶点色输出，因此缩放、旋转、平移、投影切换等交互都只更新矩阵与绘制参数，不重建场景数据。</w:t>
      </w:r>
    </w:p>
    <w:p w14:paraId="331F886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完成情况：基本要求 4 项全部完成；附加项完成“鼠标拖动的虚拟跟踪球”与“平移、旋转、缩放三种基本变换的累积”两项，并将观察变换扩展为右键旋转、滚轮缩放与推拉、按住平滑旋转、七个视图预设等常用相机操作。</w:t>
      </w:r>
    </w:p>
    <w:p w14:paraId="74933C38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 总体设计</w:t>
      </w:r>
    </w:p>
    <w:p w14:paraId="454952EE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2.1 程序结构</w:t>
      </w:r>
    </w:p>
    <w:p w14:paraId="5061973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页面由主页面、主程序、模型数据模块、顶点/片元着色器以及通用 WebGL 支持库组成。主程序负责三种矩阵的构造、多 pass 渲染流程、键盘鼠标交互与界面同步；模型数据模块负责生成三色坐标轴、角落朝向 gizmo 以及立方体、球、墨西哥帽三种模型的顶点坐标与颜色；着色器保持最简形式，只完成 P·V·M 串联与顶点色直通。</w:t>
      </w:r>
    </w:p>
    <w:p w14:paraId="7B251C72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绘制坐标轴与 gizmo 时令 u_Flag=0，跳过模型变换，只做 P·V；绘制物体时令 u_Flag=1，执行完整的 P·V·M。所有矩阵在 JavaScript 中以行主序存储，上传前由 flatten() 转置为 GLSL 要求的列主序。</w:t>
      </w:r>
    </w:p>
    <w:p w14:paraId="3E122274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2.2 渲染流程</w:t>
      </w:r>
    </w:p>
    <w:p w14:paraId="4B7D833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每帧的绘制顺序为：清除颜色与深度缓存；绘制物体（TRIANGLES，写深度）；绘制三色坐标轴（关闭深度写入，深度函数取 LEQUAL，使共面几何不产生深度冲突，同时仍被物体正确遮挡）；最后在右上角以 SCISSOR_TEST 圈出 96×96 的小视口，清除该区深度，用“只旋转、不平移”的视图矩阵与固定正交投影绘制朝向 gizmo，随后恢复主视口。</w:t>
      </w:r>
    </w:p>
    <w:p w14:paraId="07880D97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 基本任务实现</w:t>
      </w:r>
    </w:p>
    <w:p w14:paraId="64B65F52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3.1 几何建模：墨西哥帽</w:t>
      </w:r>
    </w:p>
    <w:p w14:paraId="24D1AC3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按课件 lec4《几何造型技术》p.39-40 的公式，将 (x, z) 平面等距划分为 11×11 个网格点，坐标规约到 [-1, 1]：x = j·2/(nColumns−1) − 1，z = i·2/(nRows−1) − 1。由平面半径 r = √(x² + z²) 求高程：</w:t>
      </w:r>
    </w:p>
    <w:p w14:paraId="64485988">
      <w:pPr>
        <w:spacing w:after="60" w:line="324" w:lineRule="auto"/>
        <w:ind w:firstLine="0"/>
        <w:jc w:val="left"/>
      </w:pPr>
      <w:r>
        <w:rPr>
          <w:rFonts w:ascii="微软雅黑" w:hAnsi="微软雅黑" w:eastAsia="微软雅黑"/>
          <w:b w:val="0"/>
          <w:sz w:val="21"/>
        </w:rPr>
        <w:t>y = sin(πr)/(πr)（r ≠ 0）；y = 1（r = 0）。</w:t>
      </w:r>
    </w:p>
    <w:p w14:paraId="259D874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每个方格按逆时针顺序取 A(i, j)、D(i+1, j)、C(i+1, j+1)、B(i, j+1) 四个顶点，展开为三角形 A-D-C 与 A-C-B。10×10 个方格共产生 600 个顶点。颜色按高程做蓝→红渐变，采用 smoothstep 缓入缓出，避免出现色带。</w:t>
      </w:r>
    </w:p>
    <w:p w14:paraId="09AB1E6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为使帽顶隆起与帽檐翻卷的起伏清晰可辨，顶点色在生成阶段就乘上漫反射系数。帽面法线由高程函数解析求导得到：dy/dr = (πr·cos πr − sin πr)/(π r²)，再与平面径向单位向量合成三维法线。该做法不修改着色器，渲染管线与既有绘制逻辑完全不变。</w:t>
      </w:r>
    </w:p>
    <w:p w14:paraId="4FC67156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3.2 模型变换矩阵 M</w:t>
      </w:r>
    </w:p>
    <w:p w14:paraId="62DE0B81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模型变换由三个互不覆盖的累积量合成：平移向量 modelTrans、旋转矩阵 modelRot、缩放因子 modelScale，按 M = T·R·S 组合。由于顶点以列向量左乘，该顺序表示先缩放、再绕自身原点旋转、最后平移，因此缩放不会改变物体中心的位置。</w:t>
      </w:r>
    </w:p>
    <w:p w14:paraId="33E5315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缩放由 Z/C 键、鼠标滚轮与侧栏滑块共同控制，步进为 1.1 与 0.9，限幅 0.2~10.0；平移可由方向键（每次 0.1）、侧栏 X/Y/Z 数字框精确输入，或在中键切换到平移模式后用左键拖动完成。三种变换可任意叠加，空格键一键复位。</w:t>
      </w:r>
    </w:p>
    <w:p w14:paraId="23391F1F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3.3 观察变换矩阵 V</w:t>
      </w:r>
    </w:p>
    <w:p w14:paraId="5704C58F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相机在半径为 camRadius 的球面上运动，取 θ 为绕 Y 轴的方位角、φ 为相对 +Y 轴的仰角，则视点位置为：</w:t>
      </w:r>
    </w:p>
    <w:p w14:paraId="764D9153">
      <w:pPr>
        <w:spacing w:after="60" w:line="324" w:lineRule="auto"/>
        <w:ind w:firstLine="0"/>
        <w:jc w:val="left"/>
      </w:pPr>
      <w:r>
        <w:rPr>
          <w:rFonts w:ascii="微软雅黑" w:hAnsi="微软雅黑" w:eastAsia="微软雅黑"/>
          <w:b w:val="0"/>
          <w:sz w:val="21"/>
        </w:rPr>
        <w:t>eye = r·(sinφ·sinθ, cosφ, sinφ·cosθ)</w:t>
      </w:r>
    </w:p>
    <w:p w14:paraId="0DCD08C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 up 向量由同一组球面参数解析给出：up = (−cosφ·sinθ, sinφ, −cosφ·cosθ)。该向量恒为单位向量且与 eye 正交，因此相机正对 ±Y 极点时也不会与视线共线退化。最终调用 lookAt(eye, (0,0,0), up) 得到视图矩阵。默认 θ = 45°、φ = 54.7356°（arctan√2）、r = 15.5，即标准等轴测视角，eye = (8.95, 8.95, 8.95)。</w:t>
      </w:r>
    </w:p>
    <w:p w14:paraId="3BDE311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W/S 的语义是“相机严格绕世界 X 轴旋转”：把 eye 与 up 作为刚体一起左乘 R_x(±Δ)，再由旋转后的视线方向反算 (θ, φ) 供界面显示，旋转后的 up 存入 camUp 参与下一次旋转。转动轴因此恒为世界 X 轴，世界 X 轴在屏幕上的投影保持不动，其余景物绕它倾斜；若要求地平线始终水平，转轴就只能是相机自身的右向量，那就不再是绕世界 X 轴。A/D 采用同一套 R_y 刚性旋转，它不改变 up 的球面形式，等价于只修改 θ。</w:t>
      </w:r>
    </w:p>
    <w:p w14:paraId="0387E399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相机距离 camRadius 默认为 15.5，可在 2~40 之间由 Ctrl+滚轮或侧栏滑块推拉。</w:t>
      </w:r>
    </w:p>
    <w:p w14:paraId="3E07A88C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3.4 投影变换矩阵 P</w:t>
      </w:r>
    </w:p>
    <w:p w14:paraId="6BB5CC9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用全局标志 isOrth 在正交投影与透视投影之间切换。透视分支调用 perspective(fov, aspect, 0.5, 200)，视野角 fov 默认 60°，可由 M/N 键以 5° 为步长在 5°~170° 之间调整；正交分支调用 ortho(±halfV·aspect, ±halfV, −200, +200)，其中竖向半高取 halfV = camRadius·tan(fov/2)，默认 15.5·tan30° ≈ 8.95。</w:t>
      </w:r>
    </w:p>
    <w:p w14:paraId="589C627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halfV 随相机参数动态取值，使正交投影下的推拉与视野角调节也能改变画面尺度，并且与透视在同一对焦平面上的覆盖高度一致，切换投影时画面尺度不跳变。正交视见体的 near/far 取关于观察者前后各 200 的对称区间；平行投影下沿视线方向平移观察者不改变成像，只需保证景物不被近平面裁掉。</w:t>
      </w:r>
    </w:p>
    <w:p w14:paraId="1E2256D3">
      <w:pPr>
        <w:keepNext/>
        <w:spacing w:before="120" w:after="60" w:line="324" w:lineRule="auto"/>
        <w:ind w:firstLine="0"/>
        <w:jc w:val="center"/>
      </w:pPr>
      <w:r>
        <w:rPr>
          <w:rFonts w:ascii="微软雅黑" w:hAnsi="微软雅黑" w:eastAsia="微软雅黑"/>
          <w:b/>
          <w:sz w:val="19"/>
        </w:rPr>
        <w:t>表 1  两种投影的对比</w:t>
      </w:r>
    </w:p>
    <w:tbl>
      <w:tblPr>
        <w:tblStyle w:val="4"/>
        <w:tblW w:w="830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28" w:type="dxa"/>
          <w:left w:w="72" w:type="dxa"/>
          <w:bottom w:w="28" w:type="dxa"/>
          <w:right w:w="72" w:type="dxa"/>
        </w:tblCellMar>
      </w:tblPr>
      <w:tblGrid>
        <w:gridCol w:w="1120"/>
        <w:gridCol w:w="3840"/>
        <w:gridCol w:w="3340"/>
      </w:tblGrid>
      <w:tr w14:paraId="567B64C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tblHeader/>
          <w:jc w:val="center"/>
        </w:trPr>
        <w:tc>
          <w:tcPr>
            <w:tcW w:w="1120" w:type="dxa"/>
          </w:tcPr>
          <w:p w14:paraId="796ABF2C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对比项</w:t>
            </w:r>
          </w:p>
        </w:tc>
        <w:tc>
          <w:tcPr>
            <w:tcW w:w="3840" w:type="dxa"/>
          </w:tcPr>
          <w:p w14:paraId="2B2FE2A6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正交投影（平行投影）</w:t>
            </w:r>
          </w:p>
        </w:tc>
        <w:tc>
          <w:tcPr>
            <w:tcW w:w="3340" w:type="dxa"/>
          </w:tcPr>
          <w:p w14:paraId="0C985C9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透视投影</w:t>
            </w:r>
          </w:p>
        </w:tc>
      </w:tr>
      <w:tr w14:paraId="3DBCA8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1A6C900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光线</w:t>
            </w:r>
          </w:p>
        </w:tc>
        <w:tc>
          <w:tcPr>
            <w:tcW w:w="3840" w:type="dxa"/>
          </w:tcPr>
          <w:p w14:paraId="0FFC1C0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相互平行，无共同出发点</w:t>
            </w:r>
          </w:p>
        </w:tc>
        <w:tc>
          <w:tcPr>
            <w:tcW w:w="3340" w:type="dxa"/>
          </w:tcPr>
          <w:p w14:paraId="4E3A16C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从视点出发向四周发散</w:t>
            </w:r>
          </w:p>
        </w:tc>
      </w:tr>
      <w:tr w14:paraId="6E6831D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54E9CDFB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尺寸</w:t>
            </w:r>
          </w:p>
        </w:tc>
        <w:tc>
          <w:tcPr>
            <w:tcW w:w="3840" w:type="dxa"/>
          </w:tcPr>
          <w:p w14:paraId="441A09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与距离无关，前后移动大小不变</w:t>
            </w:r>
          </w:p>
        </w:tc>
        <w:tc>
          <w:tcPr>
            <w:tcW w:w="3340" w:type="dxa"/>
          </w:tcPr>
          <w:p w14:paraId="2808DA42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近大远小，比例随距离连续变化</w:t>
            </w:r>
          </w:p>
        </w:tc>
      </w:tr>
      <w:tr w14:paraId="4AF004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589A0FE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平行线</w:t>
            </w:r>
          </w:p>
        </w:tc>
        <w:tc>
          <w:tcPr>
            <w:tcW w:w="3840" w:type="dxa"/>
          </w:tcPr>
          <w:p w14:paraId="104B231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投影后仍保持平行</w:t>
            </w:r>
          </w:p>
        </w:tc>
        <w:tc>
          <w:tcPr>
            <w:tcW w:w="3340" w:type="dxa"/>
          </w:tcPr>
          <w:p w14:paraId="045C991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投影后收敛到灭点</w:t>
            </w:r>
          </w:p>
        </w:tc>
      </w:tr>
      <w:tr w14:paraId="48B67A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7391622D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矩阵特征</w:t>
            </w:r>
          </w:p>
        </w:tc>
        <w:tc>
          <w:tcPr>
            <w:tcW w:w="3840" w:type="dxa"/>
          </w:tcPr>
          <w:p w14:paraId="46245F1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P[3][3] = 1，w ≡ 1，不做透视除法</w:t>
            </w:r>
          </w:p>
        </w:tc>
        <w:tc>
          <w:tcPr>
            <w:tcW w:w="3340" w:type="dxa"/>
          </w:tcPr>
          <w:p w14:paraId="4C7349E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P[3][2] = −1，w = −z_eye，需要透视除法</w:t>
            </w:r>
          </w:p>
        </w:tc>
      </w:tr>
      <w:tr w14:paraId="17269F4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120" w:type="dxa"/>
          </w:tcPr>
          <w:p w14:paraId="1CB5B77C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视野来源</w:t>
            </w:r>
          </w:p>
        </w:tc>
        <w:tc>
          <w:tcPr>
            <w:tcW w:w="3840" w:type="dxa"/>
          </w:tcPr>
          <w:p w14:paraId="32384854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left/right/bottom/top（本项目由 halfV 换算）</w:t>
            </w:r>
          </w:p>
        </w:tc>
        <w:tc>
          <w:tcPr>
            <w:tcW w:w="3340" w:type="dxa"/>
          </w:tcPr>
          <w:p w14:paraId="6F51780B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fov 与 aspect</w:t>
            </w:r>
          </w:p>
        </w:tc>
      </w:tr>
    </w:tbl>
    <w:p w14:paraId="3051F229">
      <w:pPr>
        <w:spacing w:after="40" w:line="240" w:lineRule="auto"/>
      </w:pPr>
    </w:p>
    <w:p w14:paraId="6D57F7DE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 附加功能</w:t>
      </w:r>
    </w:p>
    <w:p w14:paraId="6682CC8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4.1 虚拟跟踪球</w:t>
      </w:r>
    </w:p>
    <w:p w14:paraId="4DE2C10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按住鼠标左键拖动时，把按下点与当前点分别映射到 [-1,1]×[-1,1] 的方形区域（y 轴翻转），再投影到单位半球面 z = √(1 − x² − y²)；落在单位圆外的点沿半径方向拉回圆周并取 z = 0。以两点的叉乘向量为轴、两点夹角为角，生成旋转矩阵并左乘到“按下时的姿态快照”上。</w:t>
      </w:r>
    </w:p>
    <w:p w14:paraId="57C85DBD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该实现是绝对映射：任意时刻的姿态只由“按下点→当前点”这对坐标决定，因此鼠标拖回按下点时物体姿态精确复原。叉乘轴在相机坐标系下算出，会先用视图矩阵旋转部分的转置（Vᵀ）换算到世界坐标，保证任意视角下旋转方向都正确。</w:t>
      </w:r>
    </w:p>
    <w:p w14:paraId="1BFC0EE3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4.2 三种基本变换的累积</w:t>
      </w:r>
    </w:p>
    <w:p w14:paraId="30AB5DBB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平移、旋转、缩放三个累积量彼此独立，最终合成为 M = T·R·S。按下中键（非滚动）可在“旋转物体”与“平移物体”之间切换左键功能，视口左上角徽标与底部状态栏同步提示当前模式。</w:t>
      </w:r>
    </w:p>
    <w:p w14:paraId="32F9872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平移模式下，把按下点到当前点的屏幕位移映射为世界位移：横向沿相机右向量、纵向沿相机上向量，每像素对应的世界长度按当前投影方式计算——正交取 2·halfV/画布高，透视取 2·tan(fov/2)·camRadius/画布高。映射同样是绝对式的，拖回按下点即完全复原；拖动过程中侧栏平移数字框实时回显，正在手动输入的输入框不会被覆盖。</w:t>
      </w:r>
    </w:p>
    <w:p w14:paraId="424034E6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4.3 相机交互</w:t>
      </w:r>
    </w:p>
    <w:p w14:paraId="735559BD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相机操作参考常用三维软件的习惯：右键拖动旋转相机，横向改变方位角 θ、纵向改变仰角 φ，拖动方向与画面内容的移动方向一致；滚轮缩放物体，Ctrl+滚轮推拉相机距离，两者分工明确；W/S/A/D 采用 requestAnimationFrame 与真实时间步长驱动，角速度恒定为 90°/s，单帧步长上限 50 ms，按住即匀速平滑旋转，松开按键或窗口失焦后自动停止。</w:t>
      </w:r>
    </w:p>
    <w:p w14:paraId="2A6988C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工具栏提供前、后、左、右、上、下、等轴测七个视图预设，一键切换并按当前 θ、φ 自动高亮。</w:t>
      </w:r>
    </w:p>
    <w:p w14:paraId="798A414A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4.4 场景辅助</w:t>
      </w:r>
    </w:p>
    <w:p w14:paraId="03A9BDFE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场景以三色坐标轴贯穿原点：X 红、Y 绿、Z 蓝，半轴长 18.0，正向为实线加 24 段圆锥箭头，负向取同色 55% 亮度并改为虚线（实线段 0.90、间隔 0.60），正负半轴一眼可分。由于半轴长约为默认竖向半高的 2 倍，轴端与箭头位于画布之外，坐标轴以贯穿全屏的长线充当空间参照。</w:t>
      </w:r>
    </w:p>
    <w:p w14:paraId="404C0B9C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右上角 gizmo 绘制在 96×96 的小视口内，只随相机旋转、不随物体变换，用于快速判断当前朝向；gizmo 框内的 X/Y/Z 标识是 HTML 覆盖层，每帧用 gizmo 自己的视图矩阵与正交投影把世界点 (0.70, 0, 0)、(0, 0.70, 0)、(0, 0, 0.70) 投影为框内像素坐标，ndc.z 越界时隐藏，并对像素位置做留白钳制。坐标轴、轴标签与 gizmo 均可由侧栏单独开关。</w:t>
      </w:r>
    </w:p>
    <w:p w14:paraId="5F30DE00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5 界面设计</w:t>
      </w:r>
    </w:p>
    <w:p w14:paraId="1AAF3EA8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页面采用应用式布局，自上而下分为四个区域：顶部工具栏（46 px）放置模型分段按钮、七个视图预设、投影切换与复位；中央视口自适应填充画布，并叠加左上角左键功能徽标与右上角 gizmo 取景框；右侧设置面板（300 px）包含相机、物体变换、显示、操作说明四组；底部状态栏（28 px）显示投影方式、左键功能、当前模型与平移量。</w:t>
      </w:r>
    </w:p>
    <w:p w14:paraId="299A0C00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相机组提供 θ、φ、fov、camRadius 四个滑块；物体变换组提供缩放滑块、X/Y/Z 平移数字框、归零按钮与旋转角只读显示；显示组控制坐标轴、轴标签与 gizmo 的显隐；操作说明组以快捷键表列出全部鼠标与键盘操作。所有控件与场景参数双向同步：键盘鼠标改变参数后由 syncUI() 写回滑块、按钮高亮与状态栏，面板控件反向写入全局量并立即重绘。</w:t>
      </w:r>
    </w:p>
    <w:p w14:paraId="3026FAC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配色以强调色 #2f6fdb 为主，按钮与面板采用浅灰白底、细边框与 6~10 px 圆角，视口底色为 #eef1f5；字体统一为微软雅黑。所有图标为手写内联 SVG 空心轮廓，不使用外部图标库或网络图片。</w:t>
      </w:r>
    </w:p>
    <w:p w14:paraId="06281B3B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6 关键问题与解决</w:t>
      </w:r>
    </w:p>
    <w:p w14:paraId="24008386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（1）正交投影下推拉与视野角“数值在变、画面不动”。原因是正交视见体使用固定的竖向半高，而平行投影下沿视线平移观察者不改变成像，fov 也只在透视分支被使用。解决方式是令 halfV = camRadius·tan(fov/2)，并让正交投影矩阵与平移映射的 worldPerPixel() 共用同一个 halfV，使 Ctrl+滚轮、相机距离滑块、视野角滑块在正交下均可见，同时保证拖动灵敏度与视见体一致。</w:t>
      </w:r>
    </w:p>
    <w:p w14:paraId="528AA517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（2）右键拖动的纵向方向与横向相反。横向采用抓取式映射（拖动方向即画面内容移动方向），纵向却写成 φ 增大，向下拖动时相机反而降低。改为 φ 随 dy 减小后，两个方向统一。</w:t>
      </w:r>
    </w:p>
    <w:p w14:paraId="55134474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（3）左键平移时侧栏数字框不更新、拖动偶尔中断。前者是因为数字框只在初始化与复位时写回，改为在每帧 syncUI() 中回显；后者是因为 mousemove/mouseup 只挂在 canvas 上，光标划过视口内的徽标或 gizmo 框、或拖出视口后就收不到事件，改为挂到 window 后拖动全程连续。</w:t>
      </w:r>
    </w:p>
    <w:p w14:paraId="0D9E3272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（4）W/S 的旋转轴与 up 向量自洽。若只旋转视线方向、再按新的 (θ, φ) 由球面公式重新生成 up，两者不自洽，等效转轴会漂移成一条斜轴；把 eye 与 up 作为刚体一起旋转，并保存旋转后的 up，转动轴才严格等于世界 X 轴。该实现与步长无关：90 次 1° 与一次 90° 的结果一致到 1e-13，绕行 60 步后 eye 的 x 分量漂移仅 1.8e-15。</w:t>
      </w:r>
    </w:p>
    <w:p w14:paraId="78946235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（5）绘制与裁剪细节。坐标轴段与 gizmo 段内部同时含有线段与圆锥三角形，而一次 drawArrays 只能指定一种图元，因此为每段记录“线段结束位置”，拆成先线段、后三角形两次绘制；gizmo 标识的可见性不能用裁剪坐标的 w≤0 判断（正交投影下 w 恒为 1），改为把世界点完整变换到裁剪空间后检查 ndc.z 是否落在 [−1, 1]；Ctrl+滚轮需要在 wheel 监听器中 preventDefault（passive: false），否则浏览器会先执行页面缩放。</w:t>
      </w:r>
    </w:p>
    <w:p w14:paraId="3478D7F8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7 测试与验证</w:t>
      </w:r>
    </w:p>
    <w:p w14:paraId="070B509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测试分为无头逻辑校验与浏览器实测两部分。无头部分在 Node 中以 WebGL 桩加载模型数据与主程序，直接断言矩阵、计数、映射与限位；浏览器部分在 HTTP 服务下逐项操作，记录矩阵元素、相机参数与场景状态。</w:t>
      </w:r>
    </w:p>
    <w:p w14:paraId="61A98F1D">
      <w:pPr>
        <w:keepNext/>
        <w:spacing w:before="120" w:after="60" w:line="324" w:lineRule="auto"/>
        <w:ind w:firstLine="0"/>
        <w:jc w:val="center"/>
      </w:pPr>
      <w:r>
        <w:rPr>
          <w:rFonts w:ascii="微软雅黑" w:hAnsi="微软雅黑" w:eastAsia="微软雅黑"/>
          <w:b/>
          <w:sz w:val="19"/>
        </w:rPr>
        <w:t>表 2  主要测试项与结果</w:t>
      </w:r>
    </w:p>
    <w:tbl>
      <w:tblPr>
        <w:tblStyle w:val="4"/>
        <w:tblW w:w="8280" w:type="dxa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28" w:type="dxa"/>
          <w:left w:w="72" w:type="dxa"/>
          <w:bottom w:w="28" w:type="dxa"/>
          <w:right w:w="72" w:type="dxa"/>
        </w:tblCellMar>
      </w:tblPr>
      <w:tblGrid>
        <w:gridCol w:w="1720"/>
        <w:gridCol w:w="2520"/>
        <w:gridCol w:w="4040"/>
      </w:tblGrid>
      <w:tr w14:paraId="0D2C02D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tblHeader/>
          <w:jc w:val="center"/>
        </w:trPr>
        <w:tc>
          <w:tcPr>
            <w:tcW w:w="1720" w:type="dxa"/>
          </w:tcPr>
          <w:p w14:paraId="3F2E269F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测试项</w:t>
            </w:r>
          </w:p>
        </w:tc>
        <w:tc>
          <w:tcPr>
            <w:tcW w:w="2520" w:type="dxa"/>
          </w:tcPr>
          <w:p w14:paraId="4DDDCBD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w="4040" w:type="dxa"/>
          </w:tcPr>
          <w:p w14:paraId="19265E5C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 w14:paraId="181BCEF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69BA3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模型与顶点数</w:t>
            </w:r>
          </w:p>
        </w:tc>
        <w:tc>
          <w:tcPr>
            <w:tcW w:w="2520" w:type="dxa"/>
          </w:tcPr>
          <w:p w14:paraId="0B7026D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统计三种模型及固定段顶点数</w:t>
            </w:r>
          </w:p>
        </w:tc>
        <w:tc>
          <w:tcPr>
            <w:tcW w:w="4040" w:type="dxa"/>
          </w:tcPr>
          <w:p w14:paraId="6800FC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方块 36 / 球 49152 / 帽 600；固定段 294 + 150 = 444</w:t>
            </w:r>
          </w:p>
        </w:tc>
      </w:tr>
      <w:tr w14:paraId="390B691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508BA41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投影矩阵正交性</w:t>
            </w:r>
          </w:p>
        </w:tc>
        <w:tc>
          <w:tcPr>
            <w:tcW w:w="2520" w:type="dxa"/>
          </w:tcPr>
          <w:p w14:paraId="689E6E1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 V 的旋转部分与 P 的关键元素</w:t>
            </w:r>
          </w:p>
        </w:tc>
        <w:tc>
          <w:tcPr>
            <w:tcW w:w="4040" w:type="dxa"/>
          </w:tcPr>
          <w:p w14:paraId="3F45AE85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通过，无镜像、无缩放异常</w:t>
            </w:r>
          </w:p>
        </w:tc>
      </w:tr>
      <w:tr w14:paraId="6A0FBF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1CAFFD2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正交视见体动态性</w:t>
            </w:r>
          </w:p>
        </w:tc>
        <w:tc>
          <w:tcPr>
            <w:tcW w:w="2520" w:type="dxa"/>
          </w:tcPr>
          <w:p w14:paraId="6E02153A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camRadius 与 fov 分别变化后比较 P[0][0]</w:t>
            </w:r>
          </w:p>
        </w:tc>
        <w:tc>
          <w:tcPr>
            <w:tcW w:w="4040" w:type="dxa"/>
          </w:tcPr>
          <w:p w14:paraId="08DF8E9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camRadius 15.5→20.63 时 P[0][0] 0.1020→0.0767；fov 60°→20° 时 0.0767→0.2510</w:t>
            </w:r>
          </w:p>
        </w:tc>
      </w:tr>
      <w:tr w14:paraId="59974CE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2D4504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右键方向</w:t>
            </w:r>
          </w:p>
        </w:tc>
        <w:tc>
          <w:tcPr>
            <w:tcW w:w="2520" w:type="dxa"/>
          </w:tcPr>
          <w:p w14:paraId="08616238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向下拖动 60 px 后读取 φ</w:t>
            </w:r>
          </w:p>
        </w:tc>
        <w:tc>
          <w:tcPr>
            <w:tcW w:w="4040" w:type="dxa"/>
          </w:tcPr>
          <w:p w14:paraId="69C2DB8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φ 54.7356°→36.7356°，物体随鼠标下移</w:t>
            </w:r>
          </w:p>
        </w:tc>
      </w:tr>
      <w:tr w14:paraId="0ACA0E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70765CFD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平移映射与回显</w:t>
            </w:r>
          </w:p>
        </w:tc>
        <w:tc>
          <w:tcPr>
            <w:tcW w:w="2520" w:type="dxa"/>
          </w:tcPr>
          <w:p w14:paraId="6439D25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左键平移后读取 modelTrans 与数字框</w:t>
            </w:r>
          </w:p>
        </w:tc>
        <w:tc>
          <w:tcPr>
            <w:tcW w:w="4040" w:type="dxa"/>
          </w:tcPr>
          <w:p w14:paraId="462470E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modelTrans = (3.70, −1.12, −1.58)，侧栏显示 3.7 / −1.1 / −1.6</w:t>
            </w:r>
          </w:p>
        </w:tc>
      </w:tr>
      <w:tr w14:paraId="784927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4AA2D60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跟踪球绝对映射</w:t>
            </w:r>
          </w:p>
        </w:tc>
        <w:tc>
          <w:tcPr>
            <w:tcW w:w="2520" w:type="dxa"/>
          </w:tcPr>
          <w:p w14:paraId="3AE70BA7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拖出再拖回按下点</w:t>
            </w:r>
          </w:p>
        </w:tc>
        <w:tc>
          <w:tcPr>
            <w:tcW w:w="4040" w:type="dxa"/>
          </w:tcPr>
          <w:p w14:paraId="4FF642E1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姿态精确复原，误差在 1e-15 量级</w:t>
            </w:r>
          </w:p>
        </w:tc>
      </w:tr>
      <w:tr w14:paraId="0C418F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684E3A59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W/S 转轴</w:t>
            </w:r>
          </w:p>
        </w:tc>
        <w:tc>
          <w:tcPr>
            <w:tcW w:w="2520" w:type="dxa"/>
          </w:tcPr>
          <w:p w14:paraId="3A6A6B7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连续调用 40 次 −1.5°</w:t>
            </w:r>
          </w:p>
        </w:tc>
        <w:tc>
          <w:tcPr>
            <w:tcW w:w="4040" w:type="dxa"/>
          </w:tcPr>
          <w:p w14:paraId="2DB0C684">
            <w:pPr>
              <w:keepNext/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eye 的 x 分量漂移 2.3e-15，反向可精确复原</w:t>
            </w:r>
          </w:p>
        </w:tc>
      </w:tr>
      <w:tr w14:paraId="54AFCF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28" w:type="dxa"/>
            <w:left w:w="72" w:type="dxa"/>
            <w:bottom w:w="28" w:type="dxa"/>
            <w:right w:w="72" w:type="dxa"/>
          </w:tblCellMar>
        </w:tblPrEx>
        <w:trPr>
          <w:cantSplit/>
          <w:jc w:val="center"/>
        </w:trPr>
        <w:tc>
          <w:tcPr>
            <w:tcW w:w="1720" w:type="dxa"/>
          </w:tcPr>
          <w:p w14:paraId="7355B055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交互与渲染</w:t>
            </w:r>
          </w:p>
        </w:tc>
        <w:tc>
          <w:tcPr>
            <w:tcW w:w="2520" w:type="dxa"/>
          </w:tcPr>
          <w:p w14:paraId="699B8DCF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逐项操作键盘鼠标并读取 gl.getError()</w:t>
            </w:r>
          </w:p>
        </w:tc>
        <w:tc>
          <w:tcPr>
            <w:tcW w:w="4040" w:type="dxa"/>
          </w:tcPr>
          <w:p w14:paraId="657997C9">
            <w:pPr>
              <w:spacing w:after="2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全部正常，gl.getError() = 0，无控制台报错</w:t>
            </w:r>
          </w:p>
        </w:tc>
      </w:tr>
    </w:tbl>
    <w:p w14:paraId="6C9E0F4F">
      <w:pPr>
        <w:spacing w:after="40" w:line="240" w:lineRule="auto"/>
      </w:pPr>
    </w:p>
    <w:p w14:paraId="50295F94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其中正交视见体动态性与 worldPerPixel() 的一致性、右键方向、平移绝对映射与数字框回显、参数限位等共 18 项断言全部通过；界面元素清理后另行按 HTML 实际 id 做严格 DOM 校验，初始化、界面绑定、场景构建、同步与渲染入口均未访问不存在的元素。</w:t>
      </w:r>
    </w:p>
    <w:p w14:paraId="6F744E45">
      <w:pPr>
        <w:keepNext/>
        <w:spacing w:before="240" w:after="100" w:line="240" w:lineRule="auto"/>
        <w:jc w:val="left"/>
      </w:pPr>
      <w:r>
        <w:rPr>
          <w:rFonts w:ascii="微软雅黑" w:hAnsi="微软雅黑" w:eastAsia="微软雅黑"/>
          <w:b/>
          <w:sz w:val="27"/>
        </w:rPr>
        <w:t>8 心得与总结</w:t>
      </w:r>
    </w:p>
    <w:p w14:paraId="51B6164E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通过本次实验，把课件中“几何造型 → 模型变换 → 观察变换 → 投影变换 → 视见体裁剪”的整条流水线在 WebGL 中真正串联了起来。最直接的体会是：P·V·M 不是三个孤立的矩阵，而是一次完整的坐标系降维过程——建模在物体自身坐标系，观察变换把世界搬进相机坐标系，投影再把三维视见体压成标准化设备坐标，任何一步出错都会在最终画面上被放大。</w:t>
      </w:r>
    </w:p>
    <w:p w14:paraId="1D6C2B6F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对 lookAt 与相机参数化的理解也从公式变成了可交互的体验。绕世界 X 轴旋转与直接修改球坐标分量并不是一回事：只有转轴恰好与视线垂直时两者才等价；而一旦转轴不是相机自身的右向量，世界轴在屏幕上的投影保持不动、其余景物绕它倾斜就是必然结果。把 eye 与 up 作为刚体一起旋转之后，才真正理解“观察变换由正交基 (n, u, v) 决定”的含义。</w:t>
      </w:r>
    </w:p>
    <w:p w14:paraId="6033F713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附加功能让我进一步理解了变换累积与交互映射：同一个矩阵左乘与右乘的语义完全不同，绝对映射与增量映射在可逆性上的差异也非常直观。工程层面同样有不少收获——多 pass 绘制时的深度状态、混合图元的分段绘制、事件监听的挂载位置、参数回显与手动输入的冲突，这些细节都会直接影响“看起来是否正常”。</w:t>
      </w:r>
    </w:p>
    <w:p w14:paraId="6FA0E65D">
      <w:pPr>
        <w:spacing w:after="60" w:line="324" w:lineRule="auto"/>
        <w:ind w:firstLine="420"/>
        <w:jc w:val="left"/>
      </w:pPr>
      <w:r>
        <w:rPr>
          <w:rFonts w:ascii="微软雅黑" w:hAnsi="微软雅黑" w:eastAsia="微软雅黑"/>
          <w:b w:val="0"/>
          <w:sz w:val="21"/>
        </w:rPr>
        <w:t>最终实现中，基础四项与两项附加功能均按要求完成，场景在大范围视角变化、投影切换与极限缩放（0.2~10.0）下保持稳定，界面显示与场景状态始终一致。</w:t>
      </w: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EE118">
    <w:pPr>
      <w:pStyle w:val="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  <w:rsid w:val="3D530640"/>
    <w:rsid w:val="43E3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uiPriority w:val="99"/>
    <w:rPr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DoubleOX</Company>
  <Pages>11</Pages>
  <Words>4988</Words>
  <Characters>6152</Characters>
  <Lines>8</Lines>
  <Paragraphs>13</Paragraphs>
  <TotalTime>6</TotalTime>
  <ScaleCrop>false</ScaleCrop>
  <LinksUpToDate>false</LinksUpToDate>
  <CharactersWithSpaces>6662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2020-09-01T07:16:00Z</dcterms:created>
  <dc:creator>690051933@qq.com</dc:creator>
  <cp:lastModifiedBy>独</cp:lastModifiedBy>
  <dcterms:modified xsi:type="dcterms:W3CDTF">2026-10-21T09:13:51Z</dcterms:modified>
  <cp:revision>122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eyJoZGlkIjoiZDMyMmIyOWZjYzI2YjI0YTg1OTY3MGQyNGY4ZmYwYjciLCJ1c2VySWQiOiIxMjcxMzc5NDE0In0=</vt:lpwstr>
  </property>
  <property fmtid="{D5CDD505-2E9C-101B-9397-08002B2CF9AE}" pid="3" name="KSOProductBuildVer">
    <vt:lpwstr>2052-12.1.0.29158</vt:lpwstr>
  </property>
  <property fmtid="{D5CDD505-2E9C-101B-9397-08002B2CF9AE}" pid="4" name="ICV">
    <vt:lpwstr>FB68FA712642456A970678C02E2DEF80_12</vt:lpwstr>
  </property>
</Properties>
</file>