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71E33">
      <w:pPr>
        <w:spacing w:line="360" w:lineRule="auto"/>
        <w:jc w:val="center"/>
      </w:pPr>
      <w:r>
        <w:rPr>
          <w:rFonts w:ascii="微软雅黑" w:hAnsi="微软雅黑" w:eastAsia="微软雅黑"/>
          <w:b/>
          <w:sz w:val="44"/>
        </w:rPr>
        <w:t>编程作业1</w:t>
      </w:r>
      <w:r>
        <w:rPr>
          <w:rFonts w:hint="eastAsia"/>
          <w:b/>
          <w:sz w:val="44"/>
          <w:lang w:val="en-US" w:eastAsia="zh-CN"/>
        </w:rPr>
        <w:t>--</w:t>
      </w:r>
      <w:r>
        <w:rPr>
          <w:rFonts w:ascii="微软雅黑" w:hAnsi="微软雅黑" w:eastAsia="微软雅黑"/>
          <w:b/>
          <w:sz w:val="44"/>
        </w:rPr>
        <w:t>2D图形的交互绘制（HW1）</w:t>
      </w:r>
    </w:p>
    <w:p w14:paraId="4563B22F">
      <w:pPr>
        <w:spacing w:line="360" w:lineRule="auto"/>
        <w:jc w:val="center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组号 </w:t>
      </w:r>
      <w:bookmarkStart w:id="0" w:name="_GoBack"/>
      <w:bookmarkEnd w:id="0"/>
      <w:r>
        <w:rPr>
          <w:rFonts w:hint="eastAsia"/>
          <w:sz w:val="21"/>
          <w:lang w:val="en-US" w:eastAsia="zh-CN"/>
        </w:rPr>
        <w:t>4</w:t>
      </w:r>
    </w:p>
    <w:p w14:paraId="25BAC250">
      <w:pPr>
        <w:spacing w:line="360" w:lineRule="auto"/>
        <w:jc w:val="center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 xml:space="preserve">姓名 </w:t>
      </w:r>
      <w:r>
        <w:rPr>
          <w:rFonts w:hint="eastAsia"/>
          <w:sz w:val="21"/>
          <w:lang w:val="en-US" w:eastAsia="zh-CN"/>
        </w:rPr>
        <w:t>刘川禾</w:t>
      </w:r>
      <w:r>
        <w:rPr>
          <w:rFonts w:ascii="微软雅黑" w:hAnsi="微软雅黑" w:eastAsia="微软雅黑"/>
          <w:sz w:val="21"/>
        </w:rPr>
        <w:t xml:space="preserve">  </w:t>
      </w:r>
    </w:p>
    <w:p w14:paraId="795B1D1E">
      <w:pPr>
        <w:spacing w:line="360" w:lineRule="auto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1"/>
        </w:rPr>
        <w:t xml:space="preserve">学号 </w:t>
      </w:r>
      <w:r>
        <w:rPr>
          <w:rFonts w:hint="eastAsia"/>
          <w:sz w:val="21"/>
          <w:lang w:val="en-US" w:eastAsia="zh-CN"/>
        </w:rPr>
        <w:t>2024141460099</w:t>
      </w:r>
    </w:p>
    <w:p w14:paraId="380B400D">
      <w:pPr>
        <w:ind w:firstLine="420"/>
      </w:pPr>
    </w:p>
    <w:p w14:paraId="34F48466">
      <w:pPr>
        <w:spacing w:line="240" w:lineRule="auto"/>
      </w:pPr>
      <w:r>
        <w:rPr>
          <w:rFonts w:ascii="微软雅黑" w:hAnsi="微软雅黑" w:eastAsia="微软雅黑"/>
          <w:b/>
          <w:sz w:val="27"/>
        </w:rPr>
        <w:t>1 思路</w:t>
      </w:r>
    </w:p>
    <w:p w14:paraId="174952A6">
      <w:pPr>
        <w:ind w:firstLine="420"/>
      </w:pPr>
      <w:r>
        <w:rPr>
          <w:rFonts w:ascii="微软雅黑" w:hAnsi="微软雅黑" w:eastAsia="微软雅黑"/>
          <w:sz w:val="21"/>
        </w:rPr>
        <w:t>本实验为计算机图形学课程的编程作业1，要求基于 WebGL 2.0 实现 2D 图形的交互绘制程序。实验目的是掌握 WebGL 2.0 的基本编程模式，包括 VBO 顶点缓冲区的创建与使用、着色器程序的编写与 uniform 变量传递、鼠标交互坐标转换，并在此基础上实现形状切换、缓动平移、旋转控制等交互功能。程序最终部署于 GitHub Pages，在线体验地址为 https://lunchinm.github.io/CG-Labs/。</w:t>
      </w:r>
    </w:p>
    <w:p w14:paraId="11DCC06D">
      <w:pPr>
        <w:ind w:firstLine="420"/>
      </w:pPr>
      <w:r>
        <w:rPr>
          <w:rFonts w:ascii="微软雅黑" w:hAnsi="微软雅黑" w:eastAsia="微软雅黑"/>
          <w:sz w:val="21"/>
        </w:rPr>
        <w:t>整体上，程序采用 WebGL 2.0 上下文，使用一对顶点/片元着色器完成图形的平移与旋转变换；交互层通过鼠标事件与滑动条事件驱动状态更新，并使用 requestAnimationFrame 构建连续渲染主循环，从而支持缓动动画与持续旋转。下面分别从基本要求的三个 TODO、附加功能、以及着色器实现等方面，描述完成实验的思路与过程。</w:t>
      </w:r>
    </w:p>
    <w:p w14:paraId="3D05F733">
      <w:pPr>
        <w:spacing w:before="120" w:after="40" w:line="240" w:lineRule="auto"/>
      </w:pPr>
      <w:r>
        <w:rPr>
          <w:rFonts w:ascii="微软雅黑" w:hAnsi="微软雅黑" w:eastAsia="微软雅黑"/>
          <w:b/>
          <w:sz w:val="24"/>
        </w:rPr>
        <w:t>（一）基本要求：三个 TODO 实现</w:t>
      </w:r>
    </w:p>
    <w:p w14:paraId="56C77DEA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TODO1——VBO 创建与顶点数据传递：</w:t>
      </w:r>
      <w:r>
        <w:rPr>
          <w:rFonts w:ascii="微软雅黑" w:hAnsi="微软雅黑" w:eastAsia="微软雅黑"/>
          <w:sz w:val="21"/>
        </w:rPr>
        <w:t>顶点数据是 WebGL 绘图的基础。首先调用 gl.createBuffer() 创建一个顶点缓冲区对象，并通过 gl.bindBuffer(gl.ARRAY_BUFFER, bufferId) 将其绑定到 ARRAY_BUFFER 目标；随后通过 gl.bufferData() 将经 flatten() 转换后的 Float32Array 顶点数据上传至 GPU。接着，调用 gl.getAttribLocation() 查询顶点着色器中 aPosition 属性的位置，调用 gl.vertexAttribPointer() 描述该属性的数据读取方式（每个顶点 2 个 float，步长为 0），最后调用 gl.enableVertexAttribArray() 激活该顶点属性数组，使 GPU 在绘制时能够自动从 VBO 中读取顶点数据。至此，顶点数据通路搭建完成。</w:t>
      </w:r>
    </w:p>
    <w:p w14:paraId="44CF3192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TODO2——像素坐标到 NDC 坐标转换：</w:t>
      </w:r>
      <w:r>
        <w:rPr>
          <w:rFonts w:ascii="微软雅黑" w:hAnsi="微软雅黑" w:eastAsia="微软雅黑"/>
          <w:sz w:val="21"/>
        </w:rPr>
        <w:t>WebGL 的鼠标交互需要将浏览器返回的屏幕像素坐标转换为裁剪空间（NDC）坐标。具体地，先通过 event.target.getBoundingClientRect() 获取画布在视口中的位置与尺寸 rect；计算画布内像素坐标 x = event.clientX - rect.left，y = event.clientY - rect.top；再将其归一化为 NDC：ndcX = 2.0 * x / canvas.width - 1.0，ndcY = 1.0 - 2.0 * y / canvas.height。其中 y 轴方向的翻转尤为关键：屏幕像素坐标的 y 轴向下增长，而 NDC 的 y 轴向上增长，因此需要用 1.0 - ... 进行翻转。转换后的 NDC 坐标直接作为形状目标位置传入 uniform 变量。</w:t>
      </w:r>
    </w:p>
    <w:p w14:paraId="74D2A34D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TODO3——uniform 变量更新：</w:t>
      </w:r>
      <w:r>
        <w:rPr>
          <w:rFonts w:ascii="微软雅黑" w:hAnsi="微软雅黑" w:eastAsia="微软雅黑"/>
          <w:sz w:val="21"/>
        </w:rPr>
        <w:t>原框架采用事件驱动渲染模式，即每次交互后调用一次渲染。本程序将其改造为基于 requestAnimationFrame 的连续渲染循环：在每一帧统一更新并传递 centerX、centerY、angle、aspect、randomColor 等 uniform 值。这种“每帧统一传值”的做法不仅覆盖了“点击后传新值”的 TODO3 基本要求，还为后续缓动平移、持续旋转等动画功能提供了天然支持——动画的本质就是每帧更新状态并重新渲染。</w:t>
      </w:r>
    </w:p>
    <w:p w14:paraId="6DE17241">
      <w:pPr>
        <w:spacing w:before="120" w:after="40" w:line="240" w:lineRule="auto"/>
      </w:pPr>
      <w:r>
        <w:rPr>
          <w:rFonts w:ascii="微软雅黑" w:hAnsi="微软雅黑" w:eastAsia="微软雅黑"/>
          <w:b/>
          <w:sz w:val="24"/>
        </w:rPr>
        <w:t>（二）附加功能实现</w:t>
      </w:r>
    </w:p>
    <w:p w14:paraId="3793A09C">
      <w:pPr>
        <w:ind w:firstLine="420"/>
      </w:pPr>
      <w:r>
        <w:rPr>
          <w:rFonts w:ascii="微软雅黑" w:hAnsi="微软雅黑" w:eastAsia="微软雅黑"/>
          <w:sz w:val="21"/>
        </w:rPr>
        <w:t>在完成三个基本 TODO 的基础上，本程序进一步扩展实现了多项附加交互功能：</w:t>
      </w:r>
    </w:p>
    <w:p w14:paraId="42CBA60E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形状切换系统：</w:t>
      </w:r>
      <w:r>
        <w:rPr>
          <w:rFonts w:ascii="微软雅黑" w:hAnsi="微软雅黑" w:eastAsia="微软雅黑"/>
          <w:sz w:val="21"/>
        </w:rPr>
        <w:t>预设了 4 种形状：矩形、三角形、圆形（以 48 段折线逼近）和五角星。所有形状的顶点均以质心为坐标原点构建，并使用三角形扇（Triangle Fan）方式展开填充，从而保证旋转与平移时形状围绕自身中心运动。对于需要一次画完的预设形状，使用 gl.TRIANGLES 绘制模式完成。</w:t>
      </w:r>
    </w:p>
    <w:p w14:paraId="09C569E8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多笔画手绘形状：</w:t>
      </w:r>
      <w:r>
        <w:rPr>
          <w:rFonts w:ascii="微软雅黑" w:hAnsi="微软雅黑" w:eastAsia="微软雅黑"/>
          <w:sz w:val="21"/>
        </w:rPr>
        <w:t>支持由多条折线共同组成一个形状（而非仅一条线）。在鼠标交互中，mouseup 事件仅结束“当前笔画”，而“完成绘制”按钮则显式结束整个绘制过程，从而允许多次提笔绘制复合图形。手绘形状以 gl.LINE_STRIP 模式逐笔画渲染，且在绘制过程中提供实时预览，使绘制者能够即时看到笔迹。</w:t>
      </w:r>
    </w:p>
    <w:p w14:paraId="33C01FB0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缓动平移：</w:t>
      </w:r>
      <w:r>
        <w:rPr>
          <w:rFonts w:ascii="微软雅黑" w:hAnsi="微软雅黑" w:eastAsia="微软雅黑"/>
          <w:sz w:val="21"/>
        </w:rPr>
        <w:t>当用户点击画布时，形状并非瞬移到目标位置，而是以“先加速后减速”的方式平滑移动。具体使用 easeInOutCubic 缓动函数：当 t &lt; 0.5 时位移 s = 4t³，当 t ≥ 0.5 时 s = 1 - ((-2t + 2)³) / 2。动画总时长设为 800ms，由 requestAnimationFrame 主循环根据时间增量驱动，从而获得自然的过渡观感。</w:t>
      </w:r>
    </w:p>
    <w:p w14:paraId="3023BDBD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旋转控制：</w:t>
      </w:r>
      <w:r>
        <w:rPr>
          <w:rFonts w:ascii="微软雅黑" w:hAnsi="微软雅黑" w:eastAsia="微软雅黑"/>
          <w:sz w:val="21"/>
        </w:rPr>
        <w:t>通过一根双向滑动条直接控制旋转速度，取值范围为 -360 至 360 度/秒。滑动条中点对应停止，向左滑为逆时针旋转，向右滑为顺时针旋转，且距离中点越远转速越快。为增强交互反馈，滑动条轨道在拇指与中心之间填充蓝色。实际旋转角度在渲染循环中按帧累加：angle += rotSpeed * dt，其中 dt 为帧间时间差。</w:t>
      </w:r>
    </w:p>
    <w:p w14:paraId="67722A2A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旋转中心调整：</w:t>
      </w:r>
      <w:r>
        <w:rPr>
          <w:rFonts w:ascii="微软雅黑" w:hAnsi="微软雅黑" w:eastAsia="微软雅黑"/>
          <w:sz w:val="21"/>
        </w:rPr>
        <w:t>在手绘模式下，允许用户手动设置旋转中心的位置。点击“调整旋转中心”按钮可切换至手动设置模式，此时画布上以黄色圆点标记实时显示当前旋转中心位置；默认情况下，程序使用所有笔画顶点的质心作为旋转中心，以保证旋转视觉合理。</w:t>
      </w:r>
    </w:p>
    <w:p w14:paraId="6C2023E3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比例保持：</w:t>
      </w:r>
      <w:r>
        <w:rPr>
          <w:rFonts w:ascii="微软雅黑" w:hAnsi="微软雅黑" w:eastAsia="微软雅黑"/>
          <w:sz w:val="21"/>
        </w:rPr>
        <w:t>为保证形状在不同宽高比的画布上不发生变形，所有形状顶点均存放在“屏幕等比空间”中，即顶点的 x 分量预先乘以纵横比 aspect。在顶点着色器中先在该等比空间内完成旋转，再除以 aspect 换回标准 NDC 空间。如此一来，在宽屏显示器上形状仍能保持正确的纵横比。</w:t>
      </w:r>
    </w:p>
    <w:p w14:paraId="57BD9DC2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随机变色：</w:t>
      </w:r>
      <w:r>
        <w:rPr>
          <w:rFonts w:ascii="微软雅黑" w:hAnsi="微软雅黑" w:eastAsia="微软雅黑"/>
          <w:sz w:val="21"/>
        </w:rPr>
        <w:t>每次点击移动形状时，形状颜色随机变化。为避免出现过于暗淡的颜色，颜色各分量被映射到 [0.15, 1] 区间，保证在深色背景下仍清晰可见。</w:t>
      </w:r>
    </w:p>
    <w:p w14:paraId="6262B03F">
      <w:pPr>
        <w:spacing w:before="120" w:after="40" w:line="240" w:lineRule="auto"/>
      </w:pPr>
      <w:r>
        <w:rPr>
          <w:rFonts w:ascii="微软雅黑" w:hAnsi="微软雅黑" w:eastAsia="微软雅黑"/>
          <w:b/>
          <w:sz w:val="24"/>
        </w:rPr>
        <w:t>（三）顶点着色器与片元着色器</w:t>
      </w:r>
    </w:p>
    <w:p w14:paraId="0848901C">
      <w:pPr>
        <w:ind w:firstLine="420"/>
      </w:pPr>
      <w:r>
        <w:rPr>
          <w:rFonts w:ascii="微软雅黑" w:hAnsi="微软雅黑" w:eastAsia="微软雅黑"/>
          <w:sz w:val="21"/>
        </w:rPr>
        <w:t>本实验的图形变换核心逻辑集中于顶点着色器，它接收顶点属性 aPosition 与若干 uniform 变量，完成旋转与平移复合变换。片元着色器则较为简单，直接输出 uniform 颜色。核心代码如下。</w:t>
      </w:r>
    </w:p>
    <w:p w14:paraId="008DBEE4">
      <w:pPr>
        <w:spacing w:before="40"/>
        <w:ind w:firstLine="420"/>
      </w:pPr>
      <w:r>
        <w:rPr>
          <w:rFonts w:ascii="微软雅黑" w:hAnsi="微软雅黑" w:eastAsia="微软雅黑"/>
          <w:sz w:val="21"/>
        </w:rPr>
        <w:t>顶点着色器（vertex shader）：</w:t>
      </w:r>
    </w:p>
    <w:p w14:paraId="695A1F4A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#version 300 es</w:t>
      </w:r>
    </w:p>
    <w:p w14:paraId="580D5EDB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in vec2 aPosition;</w:t>
      </w:r>
    </w:p>
    <w:p w14:paraId="2EB706EB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uniform float centerX, centerY, angle, aspect;</w:t>
      </w:r>
    </w:p>
    <w:p w14:paraId="538A013D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void main() {</w:t>
      </w:r>
    </w:p>
    <w:p w14:paraId="57B30192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 xml:space="preserve">    float c = cos(angle), s = sin(angle);</w:t>
      </w:r>
    </w:p>
    <w:p w14:paraId="1C6FEFBD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 xml:space="preserve">    vec2 p = vec2(aPosition.x * c - aPosition.y * s,</w:t>
      </w:r>
    </w:p>
    <w:p w14:paraId="585177EC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 xml:space="preserve">                  aPosition.x * s + aPosition.y * c);</w:t>
      </w:r>
    </w:p>
    <w:p w14:paraId="16CAECB0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 xml:space="preserve">    gl_Position = vec4(p.x / aspect + centerX, p.y + centerY, 0.0, 1.0);</w:t>
      </w:r>
    </w:p>
    <w:p w14:paraId="1803379D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}</w:t>
      </w:r>
    </w:p>
    <w:p w14:paraId="6E4C55C1">
      <w:pPr>
        <w:spacing w:before="40"/>
        <w:ind w:firstLine="420"/>
      </w:pPr>
      <w:r>
        <w:rPr>
          <w:rFonts w:ascii="微软雅黑" w:hAnsi="微软雅黑" w:eastAsia="微软雅黑"/>
          <w:sz w:val="21"/>
        </w:rPr>
        <w:t>片元着色器（fragment shader）：</w:t>
      </w:r>
    </w:p>
    <w:p w14:paraId="321DBD88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#version 300 es</w:t>
      </w:r>
    </w:p>
    <w:p w14:paraId="2C0ECC12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precision highp float;</w:t>
      </w:r>
    </w:p>
    <w:p w14:paraId="47D01CDE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uniform vec4 randomColor;</w:t>
      </w:r>
    </w:p>
    <w:p w14:paraId="1332CEB3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out vec4 FragColor;</w:t>
      </w:r>
    </w:p>
    <w:p w14:paraId="10B3A96C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void main() {</w:t>
      </w:r>
    </w:p>
    <w:p w14:paraId="045638E1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 xml:space="preserve">    FragColor = randomColor;</w:t>
      </w:r>
    </w:p>
    <w:p w14:paraId="5CBD292A">
      <w:pPr>
        <w:shd w:val="clear" w:color="auto" w:fill="F2F2F2"/>
        <w:spacing w:before="0" w:after="0" w:line="240" w:lineRule="auto"/>
        <w:ind w:left="360" w:firstLine="0"/>
      </w:pPr>
      <w:r>
        <w:rPr>
          <w:rFonts w:ascii="Consolas" w:hAnsi="Consolas" w:eastAsia="Consolas"/>
          <w:sz w:val="18"/>
        </w:rPr>
        <w:t>}</w:t>
      </w:r>
    </w:p>
    <w:p w14:paraId="07A70DC6">
      <w:pPr>
        <w:ind w:firstLine="420"/>
      </w:pPr>
      <w:r>
        <w:rPr>
          <w:rFonts w:ascii="微软雅黑" w:hAnsi="微软雅黑" w:eastAsia="微软雅黑"/>
          <w:sz w:val="21"/>
        </w:rPr>
        <w:t>其中，顶点着色器先在等比空间（aPosition 已含 aspect）内对顶点做旋转（用 cos/sin 构造旋转矩阵），再除以 aspect 换回 NDC，最后加上平移量 centerX/centerY，得到 gl_Position。这一设计将“保持比例—旋转—平移”的顺序在 GPU 端一次完成，逻辑清晰且高效。</w:t>
      </w:r>
    </w:p>
    <w:p w14:paraId="397D31C4">
      <w:pPr>
        <w:spacing w:line="240" w:lineRule="auto"/>
      </w:pPr>
      <w:r>
        <w:rPr>
          <w:rFonts w:ascii="微软雅黑" w:hAnsi="微软雅黑" w:eastAsia="微软雅黑"/>
          <w:b/>
          <w:sz w:val="27"/>
        </w:rPr>
        <w:t>2 重点难点</w:t>
      </w:r>
    </w:p>
    <w:p w14:paraId="13939E40">
      <w:pPr>
        <w:ind w:firstLine="420"/>
      </w:pPr>
      <w:r>
        <w:rPr>
          <w:rFonts w:ascii="微软雅黑" w:hAnsi="微软雅黑" w:eastAsia="微软雅黑"/>
          <w:sz w:val="21"/>
        </w:rPr>
        <w:t>在本实验中，以下几个技术点较为关键，也是实现过程中主要的难点所在：</w:t>
      </w:r>
    </w:p>
    <w:p w14:paraId="01C6BE6B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1. NDC 坐标转换与 y 轴翻转。</w:t>
      </w:r>
      <w:r>
        <w:rPr>
          <w:rFonts w:ascii="微软雅黑" w:hAnsi="微软雅黑" w:eastAsia="微软雅黑"/>
          <w:sz w:val="21"/>
        </w:rPr>
        <w:t>这是鼠标交互的基础，也是最容易出现偏差的地方。屏幕像素坐标的原点在左上角、y 轴向下，而 WebGL 裁剪空间的原点在中心、y 轴向上。若忘记翻转 y 轴，会出现点击位置与实际移动位置上下颠倒的现象。本实验通过 ndcY = 1.0 - 2.0 * y / canvas.height 完成翻转，并配合 getBoundingClientRect() 处理画布在页面中的偏移，确保转换准确。</w:t>
      </w:r>
    </w:p>
    <w:p w14:paraId="2168951C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2. 从事件驱动到连续渲染的改造。</w:t>
      </w:r>
      <w:r>
        <w:rPr>
          <w:rFonts w:ascii="微软雅黑" w:hAnsi="微软雅黑" w:eastAsia="微软雅黑"/>
          <w:sz w:val="21"/>
        </w:rPr>
        <w:t>原框架为事件驱动渲染，每次交互只渲染一帧，无法支持动画。本实验将其改为 requestAnimationFrame 主循环，每帧根据时间增量 dt 更新缓动进度与旋转角度，并统一传递所有 uniform。这一改造是缓动平移与持续旋转功能得以实现的前提，也是本实验在架构层面的关键决策。</w:t>
      </w:r>
    </w:p>
    <w:p w14:paraId="0739E566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3. 缓动函数的实现与时间控制。</w:t>
      </w:r>
      <w:r>
        <w:rPr>
          <w:rFonts w:ascii="微软雅黑" w:hAnsi="微软雅黑" w:eastAsia="微软雅黑"/>
          <w:sz w:val="21"/>
        </w:rPr>
        <w:t>缓动平移要求形状“先加速后减速”，关键在于使用 easeInOutCubic 函数对线性时间 t 进行重映射，并严格用 800ms 时长归一化进度。难点在于保证动画不受帧率波动影响——通过记录上一帧时间戳、计算真实 dt 来推进进度，而非简单按帧数推进，从而在不同设备上获得一致的动画时长。</w:t>
      </w:r>
    </w:p>
    <w:p w14:paraId="6E16A6A6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4. 旋转中心的确定与比例保持。</w:t>
      </w:r>
      <w:r>
        <w:rPr>
          <w:rFonts w:ascii="微软雅黑" w:hAnsi="微软雅黑" w:eastAsia="微软雅黑"/>
          <w:sz w:val="21"/>
        </w:rPr>
        <w:t>旋转涉及“绕谁转”和“是否变形”两个问题。本实验对所有形状以质心为原点构建顶点，并在等比空间内旋转后除以 aspect 换回 NDC，一举解决两个问题。难点在于等比空间的设定需要顶点数据与着色器逻辑一致配合，否则仍会出现拉伸。</w:t>
      </w:r>
    </w:p>
    <w:p w14:paraId="026267D5">
      <w:pPr>
        <w:spacing w:before="40"/>
        <w:ind w:firstLine="420"/>
      </w:pPr>
      <w:r>
        <w:rPr>
          <w:rFonts w:ascii="微软雅黑" w:hAnsi="微软雅黑" w:eastAsia="微软雅黑"/>
          <w:b/>
          <w:sz w:val="21"/>
        </w:rPr>
        <w:t>5. 双向滑动条与持续旋转。</w:t>
      </w:r>
      <w:r>
        <w:rPr>
          <w:rFonts w:ascii="微软雅黑" w:hAnsi="微软雅黑" w:eastAsia="微软雅黑"/>
          <w:sz w:val="21"/>
        </w:rPr>
        <w:t>滑动条需要同时表达“方向”与“速度”两个信息，并以中点为停止点。难点在于轨道颜色的实时填充（拇指与中心之间填蓝）以及将角速度按帧累加为角度，需要在滑动条 input 事件与渲染循环之间正确同步状态。</w:t>
      </w:r>
    </w:p>
    <w:p w14:paraId="3F7FF47D">
      <w:pPr>
        <w:ind w:firstLine="420"/>
      </w:pPr>
      <w:r>
        <w:rPr>
          <w:rFonts w:ascii="微软雅黑" w:hAnsi="微软雅黑" w:eastAsia="微软雅黑"/>
          <w:sz w:val="21"/>
        </w:rPr>
        <w:t>上述难点大多通过“统一在渲染循环中处理状态”的思路得到解决：所有交互事件只负责修改状态变量，而动画与变换的推进全部交给 requestAnimationFrame 主循环，从而避免了事件驱动模式下状态不一致的问题。</w:t>
      </w:r>
    </w:p>
    <w:p w14:paraId="4AC84DAA">
      <w:pPr>
        <w:spacing w:line="240" w:lineRule="auto"/>
      </w:pPr>
      <w:r>
        <w:rPr>
          <w:rFonts w:ascii="微软雅黑" w:hAnsi="微软雅黑" w:eastAsia="微软雅黑"/>
          <w:b/>
          <w:sz w:val="27"/>
        </w:rPr>
        <w:t>3 心得</w:t>
      </w:r>
    </w:p>
    <w:p w14:paraId="53EDD2BE">
      <w:pPr>
        <w:ind w:firstLine="420"/>
      </w:pPr>
      <w:r>
        <w:rPr>
          <w:rFonts w:ascii="微软雅黑" w:hAnsi="微软雅黑" w:eastAsia="微软雅黑"/>
          <w:sz w:val="21"/>
        </w:rPr>
        <w:t>通过本实验，我成功实现了所有基本要求（三个 TODO）以及形状切换、多笔画手绘、缓动平移、双向旋转控制、旋转中心调整、比例保持、随机变色等多项附加功能，并已通过 GitHub Pages 部署上线。在线体验地址：https://lunchinm.github.io/CG-Labs/</w:t>
      </w:r>
    </w:p>
    <w:p w14:paraId="391B053A">
      <w:pPr>
        <w:ind w:firstLine="420"/>
      </w:pPr>
      <w:r>
        <w:rPr>
          <w:rFonts w:ascii="微软雅黑" w:hAnsi="微软雅黑" w:eastAsia="微软雅黑"/>
          <w:sz w:val="21"/>
        </w:rPr>
        <w:t>功能验证结果如下：</w:t>
      </w:r>
    </w:p>
    <w:p w14:paraId="75C2B316">
      <w:pPr>
        <w:spacing w:before="40"/>
        <w:ind w:firstLine="420"/>
      </w:pPr>
      <w:r>
        <w:rPr>
          <w:rFonts w:ascii="微软雅黑" w:hAnsi="微软雅黑" w:eastAsia="微软雅黑"/>
          <w:sz w:val="21"/>
        </w:rPr>
        <w:t>1. 点击画布，矩形以缓动方式平滑移动到点击位置，颜色随机变化。✓</w:t>
      </w:r>
    </w:p>
    <w:p w14:paraId="5A9960C6">
      <w:pPr>
        <w:spacing w:before="40"/>
        <w:ind w:firstLine="420"/>
      </w:pPr>
      <w:r>
        <w:rPr>
          <w:rFonts w:ascii="微软雅黑" w:hAnsi="微软雅黑" w:eastAsia="微软雅黑"/>
          <w:sz w:val="21"/>
        </w:rPr>
        <w:t>2. 四种预设形状（矩形、三角形、圆形、五角星）可正常切换，且在宽屏下保持比例不变形。✓</w:t>
      </w:r>
    </w:p>
    <w:p w14:paraId="0331D9B5">
      <w:pPr>
        <w:spacing w:before="40"/>
        <w:ind w:firstLine="420"/>
      </w:pPr>
      <w:r>
        <w:rPr>
          <w:rFonts w:ascii="微软雅黑" w:hAnsi="微软雅黑" w:eastAsia="微软雅黑"/>
          <w:sz w:val="21"/>
        </w:rPr>
        <w:t>3. 多笔画手绘形状可正常绘制、显示与旋转。✓</w:t>
      </w:r>
    </w:p>
    <w:p w14:paraId="310A909C">
      <w:pPr>
        <w:spacing w:before="40"/>
        <w:ind w:firstLine="420"/>
      </w:pPr>
      <w:r>
        <w:rPr>
          <w:rFonts w:ascii="微软雅黑" w:hAnsi="微软雅黑" w:eastAsia="微软雅黑"/>
          <w:sz w:val="21"/>
        </w:rPr>
        <w:t>4. 滑动条可双向控制旋转速度与方向，中点即停止。✓</w:t>
      </w:r>
    </w:p>
    <w:p w14:paraId="7A7F4A3A">
      <w:pPr>
        <w:spacing w:before="40"/>
        <w:ind w:firstLine="420"/>
      </w:pPr>
      <w:r>
        <w:rPr>
          <w:rFonts w:ascii="微软雅黑" w:hAnsi="微软雅黑" w:eastAsia="微软雅黑"/>
          <w:sz w:val="21"/>
        </w:rPr>
        <w:t>5. 旋转中心标记实时显示，并可在手绘模式下手动调整。✓</w:t>
      </w:r>
    </w:p>
    <w:p w14:paraId="478B88B8">
      <w:pPr>
        <w:ind w:firstLine="420"/>
      </w:pPr>
      <w:r>
        <w:rPr>
          <w:rFonts w:ascii="微软雅黑" w:hAnsi="微软雅黑" w:eastAsia="微软雅黑"/>
          <w:sz w:val="21"/>
        </w:rPr>
        <w:t>通过本实验，我掌握了 WebGL 2.0 的基本编程模式，深入理解了 VBO 顶点缓冲区的创建与属性配置、顶点/片元着色器的编写与 uniform 变量传递、NDC 坐标系统与鼠标坐标转换等核心概念。在基本要求之上，通过扩展实现形状切换、多笔画手绘、缓动平移、双向旋转控制等功能，我进一步加深了对图形学交互编程、动画时间控制以及坐标变换的理解。尤其是“将事件驱动改为连续渲染”这一架构改造，让我体会到动画与交互在本质上都依赖于“状态更新—逐帧重绘”的循环模型，这一认识对后续学习三维图形学将有重要帮助。</w:t>
      </w:r>
    </w:p>
    <w:p w14:paraId="57E7CC43">
      <w:pPr>
        <w:ind w:firstLine="42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D94133"/>
    <w:rsid w:val="43603746"/>
    <w:rsid w:val="4B632A8B"/>
    <w:rsid w:val="5F03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3184</Words>
  <Characters>4399</Characters>
  <Lines>0</Lines>
  <Paragraphs>0</Paragraphs>
  <TotalTime>1</TotalTime>
  <ScaleCrop>false</ScaleCrop>
  <LinksUpToDate>false</LinksUpToDate>
  <CharactersWithSpaces>4749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独</cp:lastModifiedBy>
  <dcterms:modified xsi:type="dcterms:W3CDTF">2026-10-05T09:45:00Z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eyJoZGlkIjoiZDMyMmIyOWZjYzI2YjI0YTg1OTY3MGQyNGY4ZmYwYjciLCJ1c2VySWQiOiIxMjcxMzc5NDE0In0=</vt:lpwstr>
  </property>
  <property fmtid="{D5CDD505-2E9C-101B-9397-08002B2CF9AE}" pid="3" name="KSOProductBuildVer">
    <vt:lpwstr>2052-12.1.0.28488</vt:lpwstr>
  </property>
  <property fmtid="{D5CDD505-2E9C-101B-9397-08002B2CF9AE}" pid="4" name="ICV">
    <vt:lpwstr>337FB93F42DD4FB9A1B4A81181E330AE_12</vt:lpwstr>
  </property>
</Properties>
</file>