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683C" w14:textId="378B93B3" w:rsidR="00281BB8" w:rsidRPr="00281BB8" w:rsidRDefault="00281BB8" w:rsidP="00794291">
      <w:pPr>
        <w:spacing w:line="360" w:lineRule="auto"/>
        <w:jc w:val="center"/>
        <w:rPr>
          <w:rFonts w:ascii="微软雅黑" w:eastAsia="微软雅黑" w:hAnsi="微软雅黑" w:hint="eastAsia"/>
          <w:b/>
          <w:sz w:val="44"/>
          <w:szCs w:val="44"/>
        </w:rPr>
      </w:pPr>
      <w:r w:rsidRPr="00281BB8">
        <w:rPr>
          <w:rFonts w:ascii="微软雅黑" w:eastAsia="微软雅黑" w:hAnsi="微软雅黑" w:hint="eastAsia"/>
          <w:b/>
          <w:sz w:val="44"/>
          <w:szCs w:val="44"/>
        </w:rPr>
        <w:t>编程作业</w:t>
      </w:r>
      <w:r w:rsidR="00770177">
        <w:rPr>
          <w:rFonts w:ascii="微软雅黑" w:eastAsia="微软雅黑" w:hAnsi="微软雅黑" w:hint="eastAsia"/>
          <w:b/>
          <w:sz w:val="44"/>
          <w:szCs w:val="44"/>
        </w:rPr>
        <w:t>2</w:t>
      </w:r>
      <w:r w:rsidR="009F7968">
        <w:rPr>
          <w:rFonts w:ascii="微软雅黑" w:eastAsia="微软雅黑" w:hAnsi="微软雅黑"/>
          <w:b/>
          <w:sz w:val="44"/>
          <w:szCs w:val="44"/>
        </w:rPr>
        <w:t xml:space="preserve"> </w:t>
      </w:r>
      <w:r w:rsidR="002425F5">
        <w:rPr>
          <w:rFonts w:ascii="微软雅黑" w:eastAsia="微软雅黑" w:hAnsi="微软雅黑" w:hint="eastAsia"/>
          <w:b/>
          <w:sz w:val="44"/>
          <w:szCs w:val="44"/>
        </w:rPr>
        <w:t>建立</w:t>
      </w:r>
      <w:r w:rsidR="009F7968">
        <w:rPr>
          <w:rFonts w:ascii="微软雅黑" w:eastAsia="微软雅黑" w:hAnsi="微软雅黑"/>
          <w:b/>
          <w:sz w:val="44"/>
          <w:szCs w:val="44"/>
        </w:rPr>
        <w:t>3D</w:t>
      </w:r>
      <w:r w:rsidR="009F7968">
        <w:rPr>
          <w:rFonts w:ascii="微软雅黑" w:eastAsia="微软雅黑" w:hAnsi="微软雅黑" w:hint="eastAsia"/>
          <w:b/>
          <w:sz w:val="44"/>
          <w:szCs w:val="44"/>
        </w:rPr>
        <w:t>场景</w:t>
      </w:r>
      <w:r w:rsidR="002425F5">
        <w:rPr>
          <w:rFonts w:ascii="微软雅黑" w:eastAsia="微软雅黑" w:hAnsi="微软雅黑" w:hint="eastAsia"/>
          <w:b/>
          <w:sz w:val="44"/>
          <w:szCs w:val="44"/>
        </w:rPr>
        <w:t>并进行</w:t>
      </w:r>
      <w:r w:rsidR="009F7968">
        <w:rPr>
          <w:rFonts w:ascii="微软雅黑" w:eastAsia="微软雅黑" w:hAnsi="微软雅黑" w:hint="eastAsia"/>
          <w:b/>
          <w:sz w:val="44"/>
          <w:szCs w:val="44"/>
        </w:rPr>
        <w:t>漫游</w:t>
      </w:r>
      <w:r w:rsidR="00B44A7C">
        <w:rPr>
          <w:rFonts w:ascii="微软雅黑" w:eastAsia="微软雅黑" w:hAnsi="微软雅黑" w:hint="eastAsia"/>
          <w:b/>
          <w:sz w:val="44"/>
          <w:szCs w:val="44"/>
        </w:rPr>
        <w:t>观察</w:t>
      </w:r>
    </w:p>
    <w:p w14:paraId="11C044B7" w14:textId="3386CA31" w:rsidR="00CE370C" w:rsidRDefault="00CE370C" w:rsidP="00794291">
      <w:pPr>
        <w:spacing w:line="360" w:lineRule="auto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第 4 组</w:t>
      </w:r>
      <w:r w:rsidR="00841750" w:rsidRPr="00281BB8">
        <w:rPr>
          <w:rFonts w:ascii="微软雅黑" w:eastAsia="微软雅黑" w:hAnsi="微软雅黑"/>
          <w:color w:val="FF0000"/>
        </w:rPr>
      </w:r>
      <w:r>
        <w:rPr>
          <w:rFonts w:ascii="微软雅黑" w:eastAsia="微软雅黑" w:hAnsi="微软雅黑" w:hint="eastAsia"/>
        </w:rPr>
      </w:r>
    </w:p>
    <w:p w14:paraId="223F64B1" w14:textId="2D767001" w:rsidR="00CE370C" w:rsidRDefault="00CE370C" w:rsidP="00794291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组长： 刘川禾  学号 2024141460099</w:t>
      </w:r>
      <w:r w:rsidR="00281BB8" w:rsidRPr="00281BB8">
        <w:rPr>
          <w:rFonts w:ascii="微软雅黑" w:eastAsia="微软雅黑" w:hAnsi="微软雅黑" w:hint="eastAsia"/>
        </w:rPr>
      </w:r>
      <w:r w:rsidR="00281BB8" w:rsidRPr="00281BB8">
        <w:rPr>
          <w:rFonts w:ascii="微软雅黑" w:eastAsia="微软雅黑" w:hAnsi="微软雅黑"/>
          <w:color w:val="FF0000"/>
        </w:rPr>
      </w:r>
      <w:r w:rsidR="00281BB8" w:rsidRPr="00281BB8">
        <w:rPr>
          <w:rFonts w:ascii="微软雅黑" w:eastAsia="微软雅黑" w:hAnsi="微软雅黑"/>
        </w:rPr>
      </w:r>
      <w:r w:rsidR="00281BB8" w:rsidRPr="00281BB8">
        <w:rPr>
          <w:rFonts w:ascii="微软雅黑" w:eastAsia="微软雅黑" w:hAnsi="微软雅黑" w:hint="eastAsia"/>
        </w:rPr>
      </w:r>
      <w:proofErr w:type="spellStart"/>
      <w:r w:rsidR="00281BB8" w:rsidRPr="00281BB8">
        <w:rPr>
          <w:rFonts w:ascii="微软雅黑" w:eastAsia="微软雅黑" w:hAnsi="微软雅黑"/>
          <w:color w:val="FF0000"/>
        </w:rPr>
      </w:r>
      <w:proofErr w:type="spellEnd"/>
    </w:p>
    <w:p w14:paraId="2E358655" w14:textId="40A5215B" w:rsidR="00CE370C" w:rsidRDefault="00CE370C" w:rsidP="00CE370C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65DF34FC" w14:textId="19FD8224" w:rsidR="009F20F0" w:rsidRDefault="00CE370C" w:rsidP="009F20F0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0AB8C366" w14:textId="6ECF76A4" w:rsidR="00CE370C" w:rsidRPr="00CE370C" w:rsidRDefault="00CE370C" w:rsidP="009F20F0">
      <w:pPr>
        <w:spacing w:line="360" w:lineRule="auto"/>
        <w:jc w:val="center"/>
        <w:rPr>
          <w:rFonts w:ascii="微软雅黑" w:eastAsia="微软雅黑" w:hAnsi="微软雅黑" w:hint="eastAsia"/>
          <w:b/>
          <w:sz w:val="27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3F009CE3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1 思路</w:t>
      </w:r>
    </w:p>
    <w:p w14:paraId="158F752D" w14:textId="1BB81169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</w:rPr>
      </w:pPr>
      <w:r w:rsidRPr="00281BB8">
        <w:rPr>
          <w:rFonts w:ascii="微软雅黑" w:eastAsia="微软雅黑" w:hAnsi="微软雅黑" w:hint="eastAsia"/>
          <w:color w:val="FF0000"/>
        </w:rPr>
        <w:t>本次实验在给定的 HW2-TODO 框架基础上，围绕顶点着色器中的“P·V·M”变换串联这条主线展开：先完成墨西哥帽模型的几何建模（TODO1），再依次构建模型变换矩阵 M（TODO2）、观察变换矩阵 V（TODO3）与投影变换矩阵 P（TODO4），最后在基本要求之上追加了鼠标拖动的虚拟跟踪球、以及平移/旋转/缩放三种基本变换的累积变换两项附加功能。</w:t>
      </w:r>
      <w:r w:rsidR="00CE370C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【TODO1 几何建模】按课件 lec4《几何造型技术》中墨西哥帽的建模方法，先把 (x,z) 平面等距划分成 11×11 个网格点并规约到 [-1,1]：Xj = j*2/(nColumns-1)-1、Zi = i*2/(nRows-1)-1；再由平面距离 r = √(x²+z²) 计算该点高度 y = sin(πr)/(πr)（r=0 处取 y=1），存入二维数组 data[i][j]。随后按课件“每四个片元构成一个四边形网格图元、逆时针顺序”的要求，对每个方格取四个顶点 A(i,j)、D(i+1,j)、C(i+1,j+1)、B(i,j+1)，以三角扇展开为两个三角形 A-D-C 与 A-C-B 依次 push 到 points 与 colors 中；顶点颜色按高度在蓝、红之间线性插值，使帽面的高低起伏在结果中更易分辨。框架原有的坐标轴绘制与“方块/球”两个模型保持不变。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【TODO2 模型变换矩阵 M】为满足附加项中“三种基本变换累积”的要求，程序设置了三个互不干扰的累积量：modelScale（Z/C 键控制的缩放）、modelRot（鼠标拖动跟踪球产生的累积旋转矩阵）、modelTrans（方向键控制的累积平移向量），最终按课件 lec6 中一般模型变换 M = T·R·S 的形式合成为模型变换矩阵（顶点以列向量左乘，故先缩放、再旋转、最后平移）。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【TODO3 观察变换矩阵 V】让相机在半径 radius = 2.0 的球面上运动：取 theta 为绕 Y 轴的方位角、phi 为相对 +Y 轴的仰角，则 eye = r·(sinφ·sinθ, cosφ, sinφ·cosθ)。这样默认 theta=0、phi=90 时 eye=(0,0,2)，与框架给出的初始值一致；同时只改变 phi 时相机在 YZ 平面内转动（即绕 X 轴旋转）、只改变 theta 时相机在 XZ 平面内转动（即绕 Y 轴旋转），正好与交互说明中 W/S、A/D 的注释一致。up 向量取球坐标框架中“仰角增大方向”的反向单位向量 up = (-cosφ·sinθ, sinφ, -cosφ·cosθ)，它恒为单位向量且与 eye 恒正交，因此相机正对 ±Y 轴时也不会出现“视线方向与 up 共线”的退化情形，无需额外特判。最后调用 MVnew.js 中的 lookAt(eye, at, up) 得到观察变换矩阵。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【TODO4 投影变换矩阵 P】用全局标志 isOrth 在正投影与透视投影之间切换，两者的视见体取值需把场景景物全部包含进去：相机位于半径 2 的球面上、注视点在原点，景物落在观察坐标系中眼睛前方约 1~3 的距离内，故取 near=0.1、far=10；景物建模坐标范围约为 [-1,1]，考虑 Z/C 缩放后留出裕量，裁剪窗口取 left=-2、right=2、bottom=-2、ytop=2；画布为正方形，故 aspect=1.0。透视投影的俯仰角 fov 由 M/N 键调节（初始 120 度）。两部分分别调用 MVnew.js 的 ortho() 与 perspective() 完成。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【附加功能一：虚拟跟踪球】为画布注册鼠标事件：按下时记录起点，拖动时把前后两个鼠标位置先转换为 [-1,1]×[-1,1] 的方形坐标（y 轴翻转），再投影到单位半球面 z=√(1-x²-y²)（落在单位圆外的点沿半径方向拉回圆周、取 z=0）。取两点的叉乘向量为旋转轴、两点夹角为旋转角，用 rotate(angle, axis) 生成绕任意轴的旋转矩阵并与已有累积旋转矩阵左乘，从而获得“用手拨动一个虚拟球体”的观感；位移过小（叉乘长度趋近 0）时跳过本次更新，避免旋转轴退化。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附加功能二：累积变换与复位】平移、旋转、缩放三个累积量彼此独立、可任意叠加，任意时刻的模型变换均为三者复合的结果；按下空格键时相机参数与三个累积量一并复位。此外把每帧清屏改为同时清除颜色缓存与深度缓存，避免上一帧残留的深度值在旋转/缩放叠加时影响遮挡关系的正确性（原框架只清除了颜色缓存）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【验证方式】在浏览器中对三个模型逐项测试：正投影下默认显示坐标轴与立方体、空格可复位；切换到墨西哥帽后可见清晰的帽顶与外圈负值下陷、颜色由蓝到红渐变；Z/C 缩放、方向键平移、W/S 与 A/D 转动相机、P 切换投影、M/N 调整俯仰角、鼠标拖动旋转均正常，且三种基本变换叠加后形状与遮挡关系正确。</w:t>
      </w:r>
    </w:p>
    <w:p w14:paraId="3B8F087A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2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重点难点</w:t>
      </w:r>
    </w:p>
    <w:p w14:paraId="794514F2" w14:textId="77777777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</w:rPr>
      </w:pPr>
      <w:r w:rsidRPr="00281BB8">
        <w:rPr>
          <w:rFonts w:ascii="微软雅黑" w:eastAsia="微软雅黑" w:hAnsi="微软雅黑"/>
          <w:color w:val="FF0000"/>
        </w:rPr>
        <w:t>四个矩阵的串联顺序与传递方式。顶点着色器中的最终位置为 P·V·M·vPosition（绘制坐标轴时不施加 M，用 u_Flag 区分）；MVnew.js 中的矩阵按行主序构造，而 GLSL 的 mat4 是列主序，必须经 flatten() 转置后再上传 uniformMatrix4fv，一旦顺序或转置出错，画面会整体错位甚至完全不可见。排查时采用“先只传 P·V、看坐标轴是否正确”的方式分段定位。</w:t>
      </w:r>
      <w:r w:rsidRPr="00281BB8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lookAt 的推导与 up 向量退化。观察变换可以理解为先把眼睛平移到原点坐标系、再旋转到与 (n,u,v) 对齐；若简单沿用 up=(0,1,0)，当相机视线方向与 up 共线（相机正对 ±Y 轴）时叉乘为 0 向量，会导致矩阵退化。解决办法是按球坐标框架解析地给出与 eye 恒正交的 up 向量，从根本上避免共线。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相机极坐标参数的变量角色。课件 lec6 给出的是球坐标表达式，但若直接照搬其变量角色，默认 theta=0 时会恰好位于极点，此时改变 phi 不产生任何视觉变化（方位角无意义）。因此本程序按“theta 为绕 Y 轴的方位角、phi 为相对 +Y 轴的仰角”分配变量，既复现了框架给出的初始 eye=(0,0,2)，又使 W/S、A/D 分别对应绕 X 轴、绕 Y 轴的转动。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累积变换的复合顺序。顶点以列向量左乘，M = T·R·S 表示先对物体缩放、再绕自身原点旋转、最后平移，这样才能得到“缩放不改变旋转中心、旋转不改变平移量”的直观效果；由于缩放与旋转都在物体局部坐标系内完成，拖动旋转后物体仍绕自身中心转动，而不会被甩出画面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跟踪球的轴与角构造。鼠标位置需要先归一化到方形区域并做 y 轴翻转（屏幕坐标向下为正，而模型向上为正），否则拖动方向会上下颠倒；投影到半球面时若只取 z=√(1-x²-y²)，圆形区域之外会出现根号内为负，需对圆外点做半径归一化；两点近似重合时叉乘向量长度趋近 0，必须跳过以避免产生非法的旋转轴。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视见体参数与深度缓存。near/far 取值不当会导致景物被裁掉或深度精度下降，这里按“相机球面半径 2、景物位于眼睛前方 1~3”估算取值，并把裁剪窗口放大到 ±2；此外原框架清屏只清除颜色缓存，深度缓存跨帧残留会在旋转/缩放叠加时造成物体内部遮挡关系错误，需要改为同时清除深度缓存。</w:t>
      </w:r>
    </w:p>
    <w:p w14:paraId="6A4185F1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3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心得</w:t>
      </w:r>
    </w:p>
    <w:p w14:paraId="6EBC5C78" w14:textId="4AC99DC9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 w:rsidRPr="00281BB8">
        <w:rPr>
          <w:rFonts w:ascii="微软雅黑" w:eastAsia="微软雅黑" w:hAnsi="微软雅黑" w:hint="eastAsia"/>
          <w:color w:val="FF0000"/>
        </w:rPr>
        <w:t>通过本次实验，把课件中“几何造型 → 模型变换 → 观察变换 → 投影变换 → 视见体裁剪”的整条流水线在 WebGL 中真正串了起来。最直观的体会是：顶点着色器中的 P·V·M 并不是三个孤立的矩阵，而是一次完整的坐标系数次降维过程——模型建模在自身坐标系、观察变换把世界搬进相机坐标系、投影变换再把三维视见体压成标准化设备坐标，任何一步出错都会在最终画面上被放大。</w:t>
      </w:r>
      <w:r w:rsidR="00CE370C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对 lookAt 与相机极坐标参数化的理解也从公式变成了可交互的体验：W/S 与 A/D 两种转动的感受明显不同，一个是在世界 XY 平面内环绕、一个是在 YZ 平面内俯仰，这让我对观察变换中“正交基 (n,u,v)”的作用有了具体的认识。</w:t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附加的两项功能让我进一步理解了“变换累积”的含义：同一个矩阵左乘与右乘的语义完全不同；虚拟跟踪球则把二维鼠标轨迹映射为三维旋转，是二维屏幕与三维空间交互的经典技巧，也让我注意到数值退化（叉乘为零、根号内为负）这类细节在实际交互中的必要性。</w:t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实验的验证结果：正投影下默认正确显示坐标轴与立方体且空格复位有效；墨西哥帽模型外观与课件示意图一致（帽顶最高、外圈出现负值下陷）；Z/C 缩放、方向键平移与鼠标拖动旋转三种变换可任意叠加且互不覆盖；W/S、A/D 转动相机流畅，相机正对 ±Y 轴极点附近画面依然稳定不翻转；P 键切换正投影/透视投影与 M/N 调整俯仰角均即时生效；方块、球、墨西哥帽三个模型切换正常。</w:t>
      </w:r>
    </w:p>
    <w:p w14:paraId="4B345357" w14:textId="2FCB10AA" w:rsidR="009F20F0" w:rsidRDefault="009F20F0" w:rsidP="00833907">
      <w:pPr>
        <w:ind w:firstLine="420"/>
        <w:rPr>
          <w:rFonts w:ascii="微软雅黑" w:eastAsia="微软雅黑" w:hAnsi="微软雅黑" w:hint="eastAsia"/>
          <w:u w:val="single"/>
        </w:rPr>
      </w:pPr>
    </w:p>
    <w:sectPr w:rsidR="009F20F0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65A5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1B800EA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FA87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11EAA77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EE118" w14:textId="77777777" w:rsidR="00950049" w:rsidRDefault="00950049">
    <w:pPr>
      <w:pStyle w:val="a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537"/>
    <w:multiLevelType w:val="hybridMultilevel"/>
    <w:tmpl w:val="6BB6C448"/>
    <w:lvl w:ilvl="0" w:tplc="59965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F559B1"/>
    <w:multiLevelType w:val="hybridMultilevel"/>
    <w:tmpl w:val="F82EB4B6"/>
    <w:lvl w:ilvl="0" w:tplc="CF3A77B0">
      <w:start w:val="2"/>
      <w:numFmt w:val="bullet"/>
      <w:lvlText w:val="-"/>
      <w:lvlJc w:val="left"/>
      <w:pPr>
        <w:ind w:left="7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791430746">
    <w:abstractNumId w:val="0"/>
  </w:num>
  <w:num w:numId="2" w16cid:durableId="601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CDD200"/>
  <w15:chartTrackingRefBased/>
  <w15:docId w15:val="{394B567D-3CB6-415A-95EE-D223D4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01"/>
    <w:pPr>
      <w:widowControl w:val="0"/>
      <w:spacing w:line="400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00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0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049"/>
    <w:rPr>
      <w:sz w:val="18"/>
      <w:szCs w:val="18"/>
    </w:rPr>
  </w:style>
  <w:style w:type="paragraph" w:styleId="a7">
    <w:name w:val="List Paragraph"/>
    <w:basedOn w:val="a"/>
    <w:uiPriority w:val="34"/>
    <w:qFormat/>
    <w:rsid w:val="006F12A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21ED1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521E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130</Characters>
  <Application>Microsoft Office Word</Application>
  <DocSecurity>0</DocSecurity>
  <Lines>8</Lines>
  <Paragraphs>13</Paragraphs>
  <ScaleCrop>false</ScaleCrop>
  <Company>DoubleOX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690051933@qq.com</dc:creator>
  <cp:keywords/>
  <dc:description/>
  <cp:lastModifiedBy>rong chen</cp:lastModifiedBy>
  <cp:revision>122</cp:revision>
  <dcterms:created xsi:type="dcterms:W3CDTF">2020-09-01T07:16:00Z</dcterms:created>
  <dcterms:modified xsi:type="dcterms:W3CDTF">2026-10-14T08:58:00Z</dcterms:modified>
</cp:coreProperties>
</file>