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6683C">
      <w:pPr>
        <w:keepNext/>
        <w:spacing w:before="1600" w:line="360" w:lineRule="auto"/>
        <w:jc w:val="center"/>
        <w:rPr>
          <w:rFonts w:hint="eastAsia" w:ascii="微软雅黑" w:hAnsi="微软雅黑" w:eastAsia="微软雅黑"/>
          <w:b/>
          <w:sz w:val="44"/>
          <w:szCs w:val="44"/>
        </w:rPr>
      </w:pPr>
      <w:r>
        <w:rPr>
          <w:rFonts w:hint="eastAsia" w:ascii="微软雅黑" w:hAnsi="微软雅黑" w:eastAsia="微软雅黑"/>
          <w:b/>
          <w:sz w:val="44"/>
          <w:szCs w:val="44"/>
        </w:rPr>
        <w:t>编程作业2</w:t>
      </w:r>
      <w:r>
        <w:rPr>
          <w:rFonts w:ascii="微软雅黑" w:hAnsi="微软雅黑" w:eastAsia="微软雅黑"/>
          <w:b/>
          <w:sz w:val="44"/>
          <w:szCs w:val="44"/>
        </w:rPr>
        <w:t xml:space="preserve"> </w:t>
      </w:r>
      <w:r>
        <w:rPr>
          <w:rFonts w:hint="eastAsia" w:ascii="微软雅黑" w:hAnsi="微软雅黑" w:eastAsia="微软雅黑"/>
          <w:b/>
          <w:sz w:val="44"/>
          <w:szCs w:val="44"/>
        </w:rPr>
        <w:t>建立</w:t>
      </w:r>
      <w:r>
        <w:rPr>
          <w:rFonts w:ascii="微软雅黑" w:hAnsi="微软雅黑" w:eastAsia="微软雅黑"/>
          <w:b/>
          <w:sz w:val="44"/>
          <w:szCs w:val="44"/>
        </w:rPr>
        <w:t>3D</w:t>
      </w:r>
      <w:r>
        <w:rPr>
          <w:rFonts w:hint="eastAsia" w:ascii="微软雅黑" w:hAnsi="微软雅黑" w:eastAsia="微软雅黑"/>
          <w:b/>
          <w:sz w:val="44"/>
          <w:szCs w:val="44"/>
        </w:rPr>
        <w:t>场景并进行漫游观察</w:t>
      </w:r>
    </w:p>
    <w:p w14:paraId="11C044B7">
      <w:pPr>
        <w:spacing w:line="360" w:lineRule="auto"/>
        <w:jc w:val="center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第 4 组</w:t>
      </w:r>
    </w:p>
    <w:p w14:paraId="223F64B1">
      <w:pPr>
        <w:spacing w:line="360" w:lineRule="auto"/>
        <w:jc w:val="center"/>
        <w:rPr>
          <w:rFonts w:hint="eastAsia" w:ascii="微软雅黑" w:hAnsi="微软雅黑" w:eastAsia="微软雅黑"/>
          <w:color w:val="FF0000"/>
        </w:rPr>
      </w:pPr>
      <w:r>
        <w:rPr>
          <w:rFonts w:hint="eastAsia" w:ascii="微软雅黑" w:hAnsi="微软雅黑" w:eastAsia="微软雅黑"/>
        </w:rPr>
        <w:t xml:space="preserve">组长：  学号 </w:t>
      </w:r>
      <w:bookmarkStart w:id="0" w:name="_GoBack"/>
      <w:bookmarkEnd w:id="0"/>
    </w:p>
    <w:p w14:paraId="2E358655">
      <w:pPr>
        <w:spacing w:line="360" w:lineRule="auto"/>
        <w:jc w:val="center"/>
        <w:rPr>
          <w:rFonts w:hint="eastAsia" w:ascii="微软雅黑" w:hAnsi="微软雅黑" w:eastAsia="微软雅黑"/>
          <w:color w:val="FF0000"/>
        </w:rPr>
      </w:pPr>
      <w:r>
        <w:rPr>
          <w:rFonts w:hint="eastAsia" w:ascii="微软雅黑" w:hAnsi="微软雅黑" w:eastAsia="微软雅黑"/>
        </w:rPr>
        <w:t>组员：  学号</w:t>
      </w:r>
    </w:p>
    <w:p w14:paraId="65DF34FC">
      <w:pPr>
        <w:spacing w:line="360" w:lineRule="auto"/>
        <w:jc w:val="center"/>
        <w:rPr>
          <w:rFonts w:hint="eastAsia" w:ascii="微软雅黑" w:hAnsi="微软雅黑" w:eastAsia="微软雅黑"/>
          <w:color w:val="FF0000"/>
        </w:rPr>
      </w:pPr>
      <w:r>
        <w:rPr>
          <w:rFonts w:hint="eastAsia" w:ascii="微软雅黑" w:hAnsi="微软雅黑" w:eastAsia="微软雅黑"/>
        </w:rPr>
        <w:t>组员：  学号</w:t>
      </w:r>
    </w:p>
    <w:p w14:paraId="0AB8C366">
      <w:pPr>
        <w:spacing w:line="360" w:lineRule="auto"/>
        <w:jc w:val="center"/>
        <w:rPr>
          <w:rFonts w:hint="eastAsia" w:ascii="微软雅黑" w:hAnsi="微软雅黑" w:eastAsia="微软雅黑"/>
          <w:b/>
          <w:sz w:val="27"/>
        </w:rPr>
      </w:pPr>
      <w:r>
        <w:rPr>
          <w:rFonts w:hint="eastAsia" w:ascii="微软雅黑" w:hAnsi="微软雅黑" w:eastAsia="微软雅黑"/>
        </w:rPr>
        <w:t>组员：  学号</w:t>
      </w:r>
    </w:p>
    <w:p w14:paraId="0620AF61">
      <w:r>
        <w:br w:type="page"/>
      </w:r>
    </w:p>
    <w:p w14:paraId="2295CD6C">
      <w:pPr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1 实验概述</w:t>
      </w:r>
    </w:p>
    <w:p w14:paraId="4B2DF5B1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本次实验以给定的 WebGL 程序框架为基础，围绕顶点着色器中的 P·V·M 变换链完成四部分基本任务：墨西哥帽几何建模、模型变换矩阵 M、观察变换矩阵 V 与投影变换矩阵 P。完成基本任务之后，我把余下的精力放在交互与可读性上：鼠标拖动的虚拟跟踪球、平移/旋转/缩放的累积变换、接近常用三维软件的相机操作，以及重做的界面布局与场景坐标系。</w:t>
      </w:r>
    </w:p>
    <w:p w14:paraId="2DBA125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程序运行于浏览器 WebGL 2.0 环境。几何数据与顶点颜色全部在 JavaScript 端生成，写入两个静态顶点缓冲区后一次上传；着色器只承担矩阵串联与顶点色输出，因此缩放、旋转、平移、投影切换等交互都只更新矩阵与绘制参数，不重建场景数据。</w:t>
      </w:r>
    </w:p>
    <w:p w14:paraId="331F8869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完成情况：基本要求 4 项全部完成；附加项 4 项全部完成——附加项一提供 Newell 茶壶、环面纽结两种程序生成的复杂模型与 Wavefront OBJ 网格导入；附加项二实现鼠标拖动的虚拟跟踪球与平移、旋转、缩放的累积变换；附加项三把观察变换扩展为右键旋转、滚轮缩放与推拉、按住平滑旋转、七个视图预设等常用相机操作；附加项四以太阳、地球、月球的三级层次与齿轮 A→B→C 的传动链两个例子实现层次建模与复杂动画。</w:t>
      </w:r>
    </w:p>
    <w:p w14:paraId="74933C38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2 总体设计</w:t>
      </w:r>
    </w:p>
    <w:p w14:paraId="454952EE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2.1 程序结构</w:t>
      </w:r>
    </w:p>
    <w:p w14:paraId="5061973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页面由主页面、主程序、模型数据模块、茶壶控制点数据模块、顶点/片元着色器以及通用 WebGL 支持库组成。主程序负责三种矩阵的构造、多 pass 渲染流程、键盘鼠标交互、界面同步、OBJ 文本解析与层次动画的驱动；模型数据模块负责生成三色坐标轴、角落朝向 gizmo 以及立方体、球、墨西哥帽、茶壶、环面纽结与太阳系的顶点坐标与颜色，茶壶模块单独存放 32 个 Bézier 补丁与 290 个控制点；着色器保持最简形式，只完成 P·V·M 串联与顶点色直通。</w:t>
      </w:r>
    </w:p>
    <w:p w14:paraId="7B251C72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绘制坐标轴与 gizmo 时令 u_Flag=0，跳过模型变换，只做 P·V；绘制物体时令 u_Flag=1，执行完整的 P·V·M。所有矩阵在 JavaScript 中以行主序存储，上传前由 flatten() 转置为 GLSL 要求的列主序。</w:t>
      </w:r>
    </w:p>
    <w:p w14:paraId="3E122274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2.2 渲染流程</w:t>
      </w:r>
    </w:p>
    <w:p w14:paraId="4B7D8339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每帧的绘制顺序为：清除颜色与深度缓存；绘制物体（TRIANGLES，写深度）；绘制三色坐标轴（关闭深度写入，深度函数取 LEQUAL，使共面几何不产生深度冲突，同时仍被物体正确遮挡）；最后在右上角以 SCISSOR_TEST 圈出 96×96 的小视口，清除该区深度，用“只旋转、不平移”的视图矩阵与固定正交投影绘制朝向 gizmo，随后恢复主视口。</w:t>
      </w:r>
    </w:p>
    <w:p w14:paraId="07880D97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 基本任务实现</w:t>
      </w:r>
    </w:p>
    <w:p w14:paraId="64B65F52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3.1 几何建模：墨西哥帽</w:t>
      </w:r>
    </w:p>
    <w:p w14:paraId="24D1AC31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按课件 lec4《几何造型技术》p.39-40 的公式，将 (x, z) 平面等距划分为 11×11 个网格点，坐标规约到 [-1, 1]：x = j·2/(nColumns−1) − 1，z = i·2/(nRows−1) − 1。由平面半径 r = √(x² + z²) 求高程：</w:t>
      </w:r>
    </w:p>
    <w:p w14:paraId="64485988">
      <w:pPr>
        <w:spacing w:after="60" w:line="324" w:lineRule="auto"/>
        <w:ind w:firstLine="0"/>
        <w:jc w:val="left"/>
      </w:pPr>
      <w:r>
        <w:rPr>
          <w:rFonts w:ascii="微软雅黑" w:hAnsi="微软雅黑" w:eastAsia="微软雅黑"/>
          <w:b w:val="0"/>
          <w:sz w:val="21"/>
        </w:rPr>
        <w:t>y = sin(πr)/(πr)（r ≠ 0）；y = 1（r = 0）。</w:t>
      </w:r>
    </w:p>
    <w:p w14:paraId="259D8741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每个方格按逆时针顺序取 A(i, j)、D(i+1, j)、C(i+1, j+1)、B(i, j+1) 四个顶点，展开为三角形 A-D-C 与 A-C-B。10×10 个方格共产生 600 个顶点。颜色按高程做蓝→红渐变，采用 smoothstep 缓入缓出，避免出现色带。</w:t>
      </w:r>
    </w:p>
    <w:p w14:paraId="09AB1E63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为使帽顶隆起与帽檐翻卷的起伏清晰可辨，顶点色在生成阶段就乘上漫反射系数。帽面法线由高程函数解析求导得到：dy/dr = (πr·cos πr − sin πr)/(π r²)，再与平面径向单位向量合成三维法线。该做法不修改着色器，渲染管线与既有绘制逻辑完全不变。</w:t>
      </w:r>
    </w:p>
    <w:p w14:paraId="4FC67156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3.2 模型变换矩阵 M</w:t>
      </w:r>
    </w:p>
    <w:p w14:paraId="62DE0B81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模型变换由三个互不覆盖的累积量合成：平移向量 modelTrans、旋转矩阵 modelRot、缩放因子 modelScale，按 M = T·R·S 组合。由于顶点以列向量左乘，该顺序表示先缩放、再绕自身原点旋转、最后平移，因此缩放不会改变物体中心的位置。</w:t>
      </w:r>
    </w:p>
    <w:p w14:paraId="33E53153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缩放由 Z/C 键、鼠标滚轮与侧栏滑块共同控制，步进为 1.1 与 0.9，限幅 0.2~10.0；平移可由方向键（每次 0.1）、侧栏 X/Y/Z 数字框精确输入，或在中键切换到平移模式后用左键拖动完成。三种变换可任意叠加，空格键一键复位。</w:t>
      </w:r>
    </w:p>
    <w:p w14:paraId="23391F1F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3.3 观察变换矩阵 V</w:t>
      </w:r>
    </w:p>
    <w:p w14:paraId="5704C58F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相机在半径为 camRadius 的球面上运动，取 θ 为绕 Y 轴的方位角、φ 为相对 +Y 轴的仰角，则视点位置为：</w:t>
      </w:r>
    </w:p>
    <w:p w14:paraId="764D9153">
      <w:pPr>
        <w:spacing w:after="60" w:line="324" w:lineRule="auto"/>
        <w:ind w:firstLine="0"/>
        <w:jc w:val="left"/>
      </w:pPr>
      <w:r>
        <w:rPr>
          <w:rFonts w:ascii="微软雅黑" w:hAnsi="微软雅黑" w:eastAsia="微软雅黑"/>
          <w:b w:val="0"/>
          <w:sz w:val="21"/>
        </w:rPr>
        <w:t>eye = r·(sinφ·sinθ, cosφ, sinφ·cosθ)</w:t>
      </w:r>
    </w:p>
    <w:p w14:paraId="0DCD08C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 up 向量由同一组球面参数解析给出：up = (−cosφ·sinθ, sinφ, −cosφ·cosθ)。该向量恒为单位向量且与 eye 正交，因此相机正对 ±Y 极点时也不会与视线共线退化。最终调用 lookAt(eye, (0,0,0), up) 得到视图矩阵。默认 θ = 45°、φ = 54.7356°（arctan√2）、r = 15.5，即标准等轴测视角，eye = (8.95, 8.95, 8.95)。</w:t>
      </w:r>
    </w:p>
    <w:p w14:paraId="3BDE3119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W/S 的语义是“相机严格绕世界 X 轴旋转”：把 eye 与 up 作为刚体一起左乘 R_x(±Δ)，再由旋转后的视线方向反算 (θ, φ) 供界面显示，旋转后的 up 存入 camUp 参与下一次旋转。转动轴因此恒为世界 X 轴，世界 X 轴在屏幕上的投影保持不动，其余景物绕它倾斜；若要求地平线始终水平，转轴就只能是相机自身的右向量，那就不再是绕世界 X 轴。A/D 采用同一套 R_y 刚性旋转，它不改变 up 的球面形式，等价于只修改 θ。</w:t>
      </w:r>
    </w:p>
    <w:p w14:paraId="0387E399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相机距离 camRadius 默认为 15.5，可在 2~40 之间由 Ctrl+滚轮或侧栏滑块推拉。</w:t>
      </w:r>
    </w:p>
    <w:p w14:paraId="3E07A88C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3.4 投影变换矩阵 P</w:t>
      </w:r>
    </w:p>
    <w:p w14:paraId="6BB5CC9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用全局标志 isOrth 在正交投影与透视投影之间切换。透视分支调用 perspective(fov, aspect, 0.5, 200)，视野角 fov 默认 60°，可由 M/N 键以 5° 为步长在 5°~170° 之间调整；正交分支调用 ortho(±halfV·aspect, ±halfV, −200, +200)，其中竖向半高取 halfV = camRadius·tan(fov/2)，默认 15.5·tan30° ≈ 8.95。</w:t>
      </w:r>
    </w:p>
    <w:p w14:paraId="589C6270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halfV 随相机参数动态取值，使正交投影下的推拉与视野角调节也能改变画面尺度，并且与透视在同一对焦平面上的覆盖高度一致，切换投影时画面尺度不跳变。正交视见体的 near/far 取关于观察者前后各 200 的对称区间；平行投影下沿视线方向平移观察者不改变成像，只需保证景物不被近平面裁掉。</w:t>
      </w:r>
    </w:p>
    <w:p w14:paraId="1E2256D3">
      <w:pPr>
        <w:keepNext/>
        <w:spacing w:before="120" w:after="60" w:line="324" w:lineRule="auto"/>
        <w:ind w:firstLine="0"/>
        <w:jc w:val="center"/>
      </w:pPr>
      <w:r>
        <w:rPr>
          <w:rFonts w:ascii="微软雅黑" w:hAnsi="微软雅黑" w:eastAsia="微软雅黑"/>
          <w:b/>
          <w:sz w:val="19"/>
        </w:rPr>
        <w:t>表 1  两种投影的对比</w:t>
      </w:r>
    </w:p>
    <w:tbl>
      <w:tblPr>
        <w:tblStyle w:val="4"/>
        <w:tblW w:w="830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28" w:type="dxa"/>
          <w:left w:w="72" w:type="dxa"/>
          <w:bottom w:w="28" w:type="dxa"/>
          <w:right w:w="72" w:type="dxa"/>
        </w:tblCellMar>
      </w:tblPr>
      <w:tblGrid>
        <w:gridCol w:w="1120"/>
        <w:gridCol w:w="3840"/>
        <w:gridCol w:w="3340"/>
      </w:tblGrid>
      <w:tr w14:paraId="567B64C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tblHeader/>
          <w:jc w:val="center"/>
        </w:trPr>
        <w:tc>
          <w:tcPr>
            <w:tcW w:w="1120" w:type="dxa"/>
          </w:tcPr>
          <w:p w14:paraId="796ABF2C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对比项</w:t>
            </w:r>
          </w:p>
        </w:tc>
        <w:tc>
          <w:tcPr>
            <w:tcW w:w="3840" w:type="dxa"/>
          </w:tcPr>
          <w:p w14:paraId="2B2FE2A6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正交投影（平行投影）</w:t>
            </w:r>
          </w:p>
        </w:tc>
        <w:tc>
          <w:tcPr>
            <w:tcW w:w="3340" w:type="dxa"/>
          </w:tcPr>
          <w:p w14:paraId="0C985C97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透视投影</w:t>
            </w:r>
          </w:p>
        </w:tc>
      </w:tr>
      <w:tr w14:paraId="3DBCA8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1A6C9005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光线</w:t>
            </w:r>
          </w:p>
        </w:tc>
        <w:tc>
          <w:tcPr>
            <w:tcW w:w="3840" w:type="dxa"/>
          </w:tcPr>
          <w:p w14:paraId="0FFC1C0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相互平行，无共同出发点</w:t>
            </w:r>
          </w:p>
        </w:tc>
        <w:tc>
          <w:tcPr>
            <w:tcW w:w="3340" w:type="dxa"/>
          </w:tcPr>
          <w:p w14:paraId="4E3A16C5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从视点出发向四周发散</w:t>
            </w:r>
          </w:p>
        </w:tc>
      </w:tr>
      <w:tr w14:paraId="6E6831D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54E9CDFB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尺寸</w:t>
            </w:r>
          </w:p>
        </w:tc>
        <w:tc>
          <w:tcPr>
            <w:tcW w:w="3840" w:type="dxa"/>
          </w:tcPr>
          <w:p w14:paraId="441A09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与距离无关，前后移动大小不变</w:t>
            </w:r>
          </w:p>
        </w:tc>
        <w:tc>
          <w:tcPr>
            <w:tcW w:w="3340" w:type="dxa"/>
          </w:tcPr>
          <w:p w14:paraId="2808DA42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近大远小，比例随距离连续变化</w:t>
            </w:r>
          </w:p>
        </w:tc>
      </w:tr>
      <w:tr w14:paraId="4AF0046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589A0FEF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平行线</w:t>
            </w:r>
          </w:p>
        </w:tc>
        <w:tc>
          <w:tcPr>
            <w:tcW w:w="3840" w:type="dxa"/>
          </w:tcPr>
          <w:p w14:paraId="104B231F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投影后仍保持平行</w:t>
            </w:r>
          </w:p>
        </w:tc>
        <w:tc>
          <w:tcPr>
            <w:tcW w:w="3340" w:type="dxa"/>
          </w:tcPr>
          <w:p w14:paraId="045C991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投影后收敛到灭点</w:t>
            </w:r>
          </w:p>
        </w:tc>
      </w:tr>
      <w:tr w14:paraId="48B67AE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7391622D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矩阵特征</w:t>
            </w:r>
          </w:p>
        </w:tc>
        <w:tc>
          <w:tcPr>
            <w:tcW w:w="3840" w:type="dxa"/>
          </w:tcPr>
          <w:p w14:paraId="46245F19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P[3][3] = 1，w ≡ 1，不做透视除法</w:t>
            </w:r>
          </w:p>
        </w:tc>
        <w:tc>
          <w:tcPr>
            <w:tcW w:w="3340" w:type="dxa"/>
          </w:tcPr>
          <w:p w14:paraId="4C7349E8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P[3][2] = −1，w = −z_eye，需要透视除法</w:t>
            </w:r>
          </w:p>
        </w:tc>
      </w:tr>
      <w:tr w14:paraId="17269F4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1CB5B77C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视野来源</w:t>
            </w:r>
          </w:p>
        </w:tc>
        <w:tc>
          <w:tcPr>
            <w:tcW w:w="3840" w:type="dxa"/>
          </w:tcPr>
          <w:p w14:paraId="32384854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left/right/bottom/top（本项目由 halfV 换算）</w:t>
            </w:r>
          </w:p>
        </w:tc>
        <w:tc>
          <w:tcPr>
            <w:tcW w:w="3340" w:type="dxa"/>
          </w:tcPr>
          <w:p w14:paraId="6F51780B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fov 与 aspect</w:t>
            </w:r>
          </w:p>
        </w:tc>
      </w:tr>
    </w:tbl>
    <w:p w14:paraId="3051F229">
      <w:pPr>
        <w:spacing w:after="40" w:line="240" w:lineRule="auto"/>
      </w:pPr>
    </w:p>
    <w:p w14:paraId="6D57F7DE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 附加功能</w:t>
      </w:r>
    </w:p>
    <w:p w14:paraId="6682CC8B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4.1 复杂几何模型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Newell 茶壶由 32 个双三次 Bézier 补丁组成，控制点数据单独存放在茶壶数据模块中，共 290 个控制点。求值时以参数 u、v 各自的三次 Bernstein 基函数在 4×4 控制点上做张量积求值，同时对两个方向求导，再由两个切向量的叉乘得到曲面法线；每个补丁按 u、v 各 8 等分细分为 128 个三角形，整只茶壶共 4096 个三角形。原始数据以 Z 轴向上，生成时映射为世界 Y 轴向上，再按包围盒居中并缩放到最大跨度 2.6，使明暗与尺度同其余模型一致。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环面纽结取 (2, 3) 参数曲线 C(t) = ((R + cos 3t)·cos 2t, −sin 3t, (R + cos 3t)·sin 2t)，曲线绕环面整体两周、在管上绕行三周，形成三叶结。沿曲线用数值差分求切线，以切线为轴构造法平面，再扫掠半径 0.40 的圆管（300 段 × 18 边，共 10800 个三角形）；顶点色沿曲线在青色与紫色之间渐变，法线取扫掠圆截面的径向单位向量。由于该曲线在 x、z 方向并不对称，生成后同样按包围盒居中并缩放到 2.6，避免物体旋转时看似绕着一个偏离中心的点甩动。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Wavefront OBJ 导入由工具栏按钮触发：读取文件文本后解析 v 顶点与 f 面，支持 v/vt/vn 复合写法与负下标，任意多边形按首顶点扇形三角化为三角形；逐三角形用两条边叉乘求面法线并烘焙 Lambert 明暗，再按包围盒居中缩放到 2.6。为防超大文件阻塞浏览器，三角形总数上限为 120000，超出时提示用户先简化模型。导入后的网格暂存于内存，切换到其它模型再切回不会丢失，状态栏显示文件名。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导入的网格在着色面之上再叠一层深色棱边，使面片结构与轮廓比纯色块更锐利。同一条棱边会被相邻两个三角形各报告一次，因此按顶点下标对去重，保证每条边只画一次：立方体得到 12 条棱边加 6 条三角化对角线共 18 条，而不是 36 条。线色取基色的 30%，alpha 随边数在 0.28 到 0.62 之间自适应，网格越密线越淡，避免高面数模型被线网糊成一片深色。由于边与面共面，绘制前用 polygonOffset 把三角面沿深度方向后移一点以消除 z-fighting；深度测试照常保留，被面遮住的背面棱边不可见，等效于隐藏线消除。</w:t>
      </w:r>
    </w:p>
    <w:p w14:paraId="6682CC8B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4.2 层次建模与动画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太阳系按父子关系组织为三级层次：太阳位于原点，地球绕太阳公转并自转，月球绕地球公转并自转。三条变换链逐级复合为：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M_sun = M·R_y(sunSpin)；M_earth = M·T(公转位置)·R_y(earthSpin)；M_moon = M·T(公转位置)·R_y(moonOrbit)·T(1.5, 0, 0)·R_y(moonSpin)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其中 M 为用户对整体系统的平移、旋转与缩放，公转位置由 T(6·cos 20t, 0, 6·sin 20t) 给出。月球矩阵在复合中位于地球的平移之后，因此地球移动时月球随之平移，这正是层次建模与“各天体独立摆放”最本质的区别。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各天体的角速度为：地球公转 20°/s、自转 120°/s，月球公转 260°/s、自转 150°/s，太阳自转 16°/s。动画由 requestAnimationFrame 按真实时间步长推进，单帧步长上限 0.05 s，乘以速度倍率后累加到动画时间 t；仅在选中太阳系且处于播放状态时运行，切换到其它模型后循环在下一帧自行退出。两条轨道线生成在 XZ 平面内，绘制时关闭深度写入但保留深度测试，因此轨道能被星球正确遮挡。侧栏“动画”面板（播放/暂停、0~3 倍速度、重置）只在太阳系与齿轮组场景显示。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齿轮组是第二组层次建模实例，用于说明“子级参数由父级参数派生”的另一种形式。三个齿轮在 XY 平面内绕各自的 Z 轴旋转，轴心间距严格等于两轮半径之和（缩放后为 1.300 与 1.003），轮廓相位按“齿对槽”排布，因此在相切方向上真正啮合；主动轮 A 有 20 齿、从动轮 B 有 15 齿、从动轮 C 有 12 齿，相邻轮转向相反。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θA = ω·t，θB = −θA·NA/NB，θC = −θB·NB/NC；M_A = M·T(轴心A)·R_z(θA)，M_B = M·T(轴心B)·R_z(θB)，M_C = M·T(轴心C)·R_z(θC)。B 的转角不是由时间直接给出，而是由 A 的转角按齿数比换算；C 的转角又由 B 换算。若三个齿轮各自用时间独立求角，齿数比一旦改变就会立刻“错齿”，只有把从动轮的参数挂在主动轮上，传动关系才在任意时刻都成立。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齿轮几何按每齿 4 个轮廓点（齿根起、齿顶起、齿顶落、齿根落）绕 Z 轴扫掠：端面用中心点三角扇封闭，齿侧与齿槽内壁用四边形带，并沿 Z 轴伸出轮毂轴。三个齿轮分别为 1176、936、792 个顶点，合计 2904 个顶点（968 个三角形），整体按包围盒居中并缩放到最大跨度 2.6。齿轮组与太阳系共用同一套动画时钟与右侧动画面板，播放、暂停、变速与重置对两者行为一致。</w:t>
      </w:r>
    </w:p>
    <w:p w14:paraId="6682CC8B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4.3 虚拟跟踪球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按住鼠标左键拖动时，把按下点与当前点分别映射到 [-1,1]×[-1,1] 的方形区域（y 轴翻转），再投影到单位半球面 z = √(1 − x² − y²)；落在单位圆外的点沿半径方向拉回圆周并取 z = 0。以两点的叉乘向量为轴、两点夹角为角，生成旋转矩阵并左乘到“按下时的姿态快照”上。</w:t>
      </w:r>
    </w:p>
    <w:p w14:paraId="57C85DBD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该实现是绝对映射：任意时刻的姿态只由“按下点→当前点”这对坐标决定，因此鼠标拖回按下点时物体姿态精确复原。叉乘轴在相机坐标系下算出，会先用视图矩阵旋转部分的转置（Vᵀ）换算到世界坐标，保证任意视角下旋转方向都正确。</w:t>
      </w:r>
    </w:p>
    <w:p w14:paraId="1BFC0EE3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4.4 三种基本变换的累积</w:t>
      </w:r>
    </w:p>
    <w:p w14:paraId="30AB5DBB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平移、旋转、缩放三个累积量彼此独立，最终合成为 M = T·R·S。按下中键（非滚动）可在“旋转物体”与“平移物体”之间切换左键功能，视口左上角徽标与底部状态栏同步提示当前模式。</w:t>
      </w:r>
    </w:p>
    <w:p w14:paraId="32F98720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平移模式下，把按下点到当前点的屏幕位移映射为世界位移：横向沿相机右向量、纵向沿相机上向量，每像素对应的世界长度按当前投影方式计算——正交取 2·halfV/画布高，透视取 2·tan(fov/2)·camRadius/画布高。映射同样是绝对式的，拖回按下点即完全复原；拖动过程中侧栏平移数字框实时回显，正在手动输入的输入框不会被覆盖。</w:t>
      </w:r>
    </w:p>
    <w:p w14:paraId="424034E6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4.5 相机交互</w:t>
      </w:r>
    </w:p>
    <w:p w14:paraId="735559BD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相机操作参考常用三维软件的习惯：右键拖动旋转相机，横向绕世界 Y 轴、纵向绕世界 X 轴（与 W/S、A/D 共用同一套刚体旋转），拖动方向与画面内容的移动方向一致；滚轮缩放物体，Ctrl+滚轮推拉相机距离，两者分工明确；W/S/A/D 采用 requestAnimationFrame 与真实时间步长驱动，角速度恒定为 90°/s，单帧步长上限 50 ms，按住即匀速平滑旋转，松开按键或窗口失焦后自动停止。</w:t>
      </w:r>
    </w:p>
    <w:p w14:paraId="2A6988C0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工具栏提供前、后、左、右、上、下、等轴测七个视图预设，一键切换并按当前 θ、φ 自动高亮。</w:t>
      </w:r>
    </w:p>
    <w:p w14:paraId="798A414A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4.6 场景辅助</w:t>
      </w:r>
    </w:p>
    <w:p w14:paraId="03A9BDFE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场景以三色坐标轴贯穿原点：X 红、Y 绿、Z 蓝，半轴长 18.0，正向为实线加 24 段圆锥箭头，负向取同色 55% 亮度并改为虚线（实线段 0.90、间隔 0.60），正负半轴一眼可分。由于半轴长约为默认竖向半高的 2 倍，轴端与箭头位于画布之外，坐标轴以贯穿全屏的长线充当空间参照。</w:t>
      </w:r>
    </w:p>
    <w:p w14:paraId="404C0B9C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右上角 gizmo 绘制在 96×96 的小视口内，只随相机旋转、不随物体变换，用于快速判断当前朝向；gizmo 框内的 X/Y/Z 标识是 HTML 覆盖层，每帧用 gizmo 自己的视图矩阵与正交投影把世界点 (0.70, 0, 0)、(0, 0.70, 0)、(0, 0, 0.70) 投影为框内像素坐标，ndc.z 越界时隐藏，并对像素位置做留白钳制。坐标轴、轴标签与 gizmo 均可由侧栏单独开关。</w:t>
      </w:r>
    </w:p>
    <w:p w14:paraId="5F30DE00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5 界面设计</w:t>
      </w:r>
    </w:p>
    <w:p w14:paraId="1AAF3EA8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页面采用应用式布局，自上而下分为四个区域：顶部工具栏（46 px）放置七个模型的分段按钮、导入 OBJ 按钮、七个视图预设、投影切换与复位；中央视口自适应填充画布，并叠加左上角左键功能徽标与右上角 gizmo 取景框；右侧设置面板（300 px）包含相机、物体变换、动画（仅太阳系与齿轮组显示）、显示、操作说明五组；底部状态栏（28 px）显示投影方式、左键功能、当前模型与平移量。</w:t>
      </w:r>
    </w:p>
    <w:p w14:paraId="299A0C00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相机组提供 θ、φ、fov、camRadius 四个滑块；物体变换组提供缩放滑块、X/Y/Z 平移数字框与旋转角只读显示；动画面板提供播放复选框、速度滑块与重置按钮，在非层次模型场景整块隐藏；显示组控制坐标轴、轴标签与 gizmo 的显隐；操作说明组以快捷键表列出全部鼠标与键盘操作。所有控件与场景参数双向同步：键盘鼠标改变参数后由 syncUI() 写回滑块、按钮高亮与状态栏，面板控件反向写入全局量并立即重绘。</w:t>
      </w:r>
    </w:p>
    <w:p w14:paraId="3026FAC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配色以强调色 #2f6fdb 为主，按钮与面板采用浅灰白底、细边框与 6~10 px 圆角，视口底色为 #eef1f5；字体统一为微软雅黑。所有图标为手写内联 SVG 空心轮廓，不使用外部图标库或网络图片。</w:t>
      </w:r>
    </w:p>
    <w:p w14:paraId="06281B3B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6 关键问题与解决</w:t>
      </w:r>
    </w:p>
    <w:p w14:paraId="2400838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实现与调试过程中有七处问题印象较深，下面按 STAR（情境、任务、行动、结果）逐条记录。</w:t>
      </w:r>
    </w:p>
    <w:p w14:paraId="2400838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（1）S：切换到正交投影后，拖动相机距离或视野角滑块，界面数值在变化而画面完全不动。T：使 camRadius 与 fov 在正交投影下同样改变画面尺度，并保证两种投影切换时尺度连续。A：检查投影矩阵后发现，正交视见体的竖向半高取的是固定值，而平行投影沿视线方向平移观察者本就不改变成像，fov 也只在透视分支被使用；于是令 halfV = camRadius·tan(fov/2)，并让正交矩阵与平移映射的 worldPerPixel() 共用同一个 halfV。R：两条滑块与 Ctrl+滚轮在正交下均可见，camRadius 由 15.5 增至 20.63 时 P[0][0] 由 0.1020 变为 0.0767，fov 由 60° 减到 20° 时变为 0.2510，投影切换时画面不跳变。</w:t>
      </w:r>
    </w:p>
    <w:p w14:paraId="528AA51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（2）S：右键纵向拖动时方向与横向相反；更反常的是，无论怎样拖动，世界 Y 轴在屏幕上始终是一条竖线，没有任何横向分量。T：统一拖动的方向语义，并让相机能够到达任意姿态。A：前者源于横向采用抓取式映射、纵向却写成 φ 增大；后者源于纵向只修改 φ，再由球面公式重新生成 up，而该 up 恒落在“世界 Y 轴与视线”决定的竖直平面内，世界 Y 轴因此永远被锁在垂直于屏幕的平面里。解决方式是让右键拖动与 W/S、A/D 共用同一套刚体旋转：横向绕世界 Y 轴、纵向绕世界 X 轴，eye 与 up 一起旋转并把结果写入 camUp。R：向下拖动 60 px 后 φ 由 54.7356° 变为 43.3225°，世界 Y 轴的屏幕方向由 (0, 1) 变为 (−0.2212, 0.9752)，物体随鼠标下移；反拖 60 px 后 θ、φ 与 up 精确复原。</w:t>
      </w:r>
    </w:p>
    <w:p w14:paraId="55134474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（3）S：左键平移物体时，右侧平移数字框不随之更新；光标一旦离开画布，拖动也会中断。T：让面板显示在交互过程中实时同步，并保证拖动全程连续。A：数字框原先只在初始化与复位时写回，改为在每帧 syncUI() 中回显，并对正在输入的输入框让步；mousemove/mouseup 原挂在 canvas 上，光标划过视口内的徽标或 gizmo 框、或拖出视口后就收不到事件，改挂到 window。R：拖动全程连续，数字框实时跟随，手动输入不被覆盖。</w:t>
      </w:r>
    </w:p>
    <w:p w14:paraId="0D9E3272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（4）S：早期实现只旋转视线方向，再按新的 (θ, φ) 由球面公式重算 up，等效转轴会漂移成一条斜轴，画面随之出现“地球自转”式的滚动。T：让 W/S 的转轴严格等于世界 X 轴。A：把 eye 与 up 作为刚体一起旋转，并保存旋转后的 up 供下一次旋转使用，up 与视线的正交关系在整个过程中保持不变。R：该实现与步长无关，90 次 1° 与一次 90° 的结果一致到 1e-13；绕行 40 步后 eye 的 x 分量漂移仅 2.3e-15。</w:t>
      </w:r>
    </w:p>
    <w:p w14:paraId="78946235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（5）S：坐标轴段与 gizmo 段内部同时含有线段与圆锥三角形，而一次 drawArrays 只能指定一种图元；gizmo 的 X/Y/Z 标识在正交投影下用裁剪坐标 w ≤ 0 判断完全失效；Ctrl+滚轮会先触发浏览器页面缩放。T：三类问题都要在不改动着色器的前提下解决。A：为每一段记录“线段结束位置”，拆成先线段、后三角形两次绘制；标识的可见性改为把世界点完整变换到裁剪空间后检查 ndc.z 是否落在 [−1, 1]；wheel 监听器调用 preventDefault() 并显式声明 passive: false。R：混合图元无错绘，标识始终跟随轴端且不越框，页面不再缩放。</w:t>
      </w:r>
    </w:p>
    <w:p w14:paraId="78946235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6）S：太阳两极各有一块明显的暗斑，从外部看球面像是没有封闭。T：让球面真正闭合。A：极点处的四边形会退化为三角形，原实现按普通四边形展开，两极各产生两个退化三角形；改为首尾两圈单独处理，北极只发 (a, b, c)、南极只发 (a, b, d) 一个三角形。R：暗斑消失，球面闭合，两极明暗与其余部分连续，三角形总数不变。</w:t>
      </w:r>
    </w:p>
    <w:p w14:paraId="78946235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（7）S：环面纽结旋转时明显绕着一个偏离几何中心的点“甩动”。T：让旋转中心与几何中心重合。A：(2,3) 曲线在 x、z 上并不对称；改为生成后按包围盒居中并缩放到最大跨度 2.6。R：旋转平稳，尺度与其余模型一致。</w:t>
      </w:r>
    </w:p>
    <w:p w14:paraId="3478D7F8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7 测试与验证</w:t>
      </w:r>
    </w:p>
    <w:p w14:paraId="070B5093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我把验证分成两部分：无头逻辑校验在 Node 中以 WebGL 桩加载模型数据与主程序，直接断言矩阵、计数、映射与限位；浏览器实测在 HTTP 服务下逐项操作，记录矩阵元素、相机参数与场景状态。两者互补——桩能覆盖大量边界条件，但着色器加载、事件挂载与绘制状态这一类问题，只有真实浏览器才会暴露。</w:t>
      </w:r>
    </w:p>
    <w:p w14:paraId="61A98F1D">
      <w:pPr>
        <w:keepNext/>
        <w:spacing w:before="120" w:after="60" w:line="324" w:lineRule="auto"/>
        <w:ind w:firstLine="0"/>
        <w:jc w:val="center"/>
      </w:pPr>
      <w:r>
        <w:rPr>
          <w:rFonts w:ascii="微软雅黑" w:hAnsi="微软雅黑" w:eastAsia="微软雅黑"/>
          <w:b/>
          <w:sz w:val="19"/>
        </w:rPr>
        <w:t>表 2  主要测试项与结果</w:t>
      </w:r>
    </w:p>
    <w:tbl>
      <w:tblPr>
        <w:tblStyle w:val="4"/>
        <w:tblW w:w="828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28" w:type="dxa"/>
          <w:left w:w="72" w:type="dxa"/>
          <w:bottom w:w="28" w:type="dxa"/>
          <w:right w:w="72" w:type="dxa"/>
        </w:tblCellMar>
      </w:tblPr>
      <w:tblGrid>
        <w:gridCol w:w="1720"/>
        <w:gridCol w:w="2520"/>
        <w:gridCol w:w="4040"/>
      </w:tblGrid>
      <w:tr w14:paraId="0D2C02D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tblHeader/>
          <w:jc w:val="center"/>
        </w:trPr>
        <w:tc>
          <w:tcPr>
            <w:tcW w:w="1720" w:type="dxa"/>
          </w:tcPr>
          <w:p w14:paraId="3F2E269F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测试项</w:t>
            </w:r>
          </w:p>
        </w:tc>
        <w:tc>
          <w:tcPr>
            <w:tcW w:w="2520" w:type="dxa"/>
          </w:tcPr>
          <w:p w14:paraId="4DDDCBD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w="4040" w:type="dxa"/>
          </w:tcPr>
          <w:p w14:paraId="19265E5C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 w14:paraId="181BCE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69BA3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模型与顶点数</w:t>
            </w:r>
          </w:p>
        </w:tc>
        <w:tc>
          <w:tcPr>
            <w:tcW w:w="2520" w:type="dxa"/>
          </w:tcPr>
          <w:p w14:paraId="0B7026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统计各模型与固定段的顶点数</w:t>
            </w:r>
          </w:p>
        </w:tc>
        <w:tc>
          <w:tcPr>
            <w:tcW w:w="4040" w:type="dxa"/>
          </w:tcPr>
          <w:p w14:paraId="6800FC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方块 36 / 球 49152 / 帽 600 / 茶壶 12288 / 纽结 32400 / 太阳系 8604 / 齿轮组 2904；固定段 444</w:t>
            </w:r>
          </w:p>
        </w:tc>
      </w:tr>
      <w:tr w14:paraId="390B691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508BA417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投影矩阵正交性</w:t>
            </w:r>
          </w:p>
        </w:tc>
        <w:tc>
          <w:tcPr>
            <w:tcW w:w="2520" w:type="dxa"/>
          </w:tcPr>
          <w:p w14:paraId="689E6E15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检查 V 的旋转部分与 P 的关键元素</w:t>
            </w:r>
          </w:p>
        </w:tc>
        <w:tc>
          <w:tcPr>
            <w:tcW w:w="4040" w:type="dxa"/>
          </w:tcPr>
          <w:p w14:paraId="3F45AE85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通过，无镜像、无缩放异常</w:t>
            </w:r>
          </w:p>
        </w:tc>
      </w:tr>
      <w:tr w14:paraId="6A0FBF4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1CAFFD28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正交视见体动态性</w:t>
            </w:r>
          </w:p>
        </w:tc>
        <w:tc>
          <w:tcPr>
            <w:tcW w:w="2520" w:type="dxa"/>
          </w:tcPr>
          <w:p w14:paraId="6E02153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camRadius 与 fov 分别变化后比较 P[0][0]</w:t>
            </w:r>
          </w:p>
        </w:tc>
        <w:tc>
          <w:tcPr>
            <w:tcW w:w="4040" w:type="dxa"/>
          </w:tcPr>
          <w:p w14:paraId="08DF8E97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camRadius 15.5→20.63 时 P[0][0] 0.1020→0.0767；fov 60°→20° 时 0.0767→0.2510</w:t>
            </w:r>
          </w:p>
        </w:tc>
      </w:tr>
      <w:tr w14:paraId="59974CE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2D4504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右键方向与转轴</w:t>
            </w:r>
          </w:p>
        </w:tc>
        <w:tc>
          <w:tcPr>
            <w:tcW w:w="2520" w:type="dxa"/>
          </w:tcPr>
          <w:p w14:paraId="08616238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向下拖动 60 px 后读取 θ、φ 与世界 Y 轴的屏幕方向</w:t>
            </w:r>
          </w:p>
        </w:tc>
        <w:tc>
          <w:tcPr>
            <w:tcW w:w="4040" w:type="dxa"/>
          </w:tcPr>
          <w:p w14:paraId="69C2DB8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φ 54.7356°→43.3225°，Y 轴屏幕方向 (0, 1)→(−0.2212, 0.9752)，物体随鼠标下移；反拖 60 px 后 θ、φ、up 精确复原</w:t>
            </w:r>
          </w:p>
        </w:tc>
      </w:tr>
      <w:tr w14:paraId="0ACA0E4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70765CFD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平移映射与回显</w:t>
            </w:r>
          </w:p>
        </w:tc>
        <w:tc>
          <w:tcPr>
            <w:tcW w:w="2520" w:type="dxa"/>
          </w:tcPr>
          <w:p w14:paraId="6439D2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左键平移后读取 modelTrans 与数字框</w:t>
            </w:r>
          </w:p>
        </w:tc>
        <w:tc>
          <w:tcPr>
            <w:tcW w:w="4040" w:type="dxa"/>
          </w:tcPr>
          <w:p w14:paraId="462470E9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modelTrans = (3.70, −1.12, −1.58)，侧栏显示 3.7 / −1.1 / −1.6</w:t>
            </w:r>
          </w:p>
        </w:tc>
      </w:tr>
      <w:tr w14:paraId="7849270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AA2D60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跟踪球绝对映射</w:t>
            </w:r>
          </w:p>
        </w:tc>
        <w:tc>
          <w:tcPr>
            <w:tcW w:w="2520" w:type="dxa"/>
          </w:tcPr>
          <w:p w14:paraId="3AE70BA7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拖出再拖回按下点</w:t>
            </w:r>
          </w:p>
        </w:tc>
        <w:tc>
          <w:tcPr>
            <w:tcW w:w="4040" w:type="dxa"/>
          </w:tcPr>
          <w:p w14:paraId="4FF642E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姿态精确复原，误差在 1e-15 量级</w:t>
            </w:r>
          </w:p>
        </w:tc>
      </w:tr>
      <w:tr w14:paraId="0C418FA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684E3A59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W/S 转轴</w:t>
            </w:r>
          </w:p>
        </w:tc>
        <w:tc>
          <w:tcPr>
            <w:tcW w:w="2520" w:type="dxa"/>
          </w:tcPr>
          <w:p w14:paraId="3A6A6B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连续调用 40 次 −1.5°</w:t>
            </w:r>
          </w:p>
        </w:tc>
        <w:tc>
          <w:tcPr>
            <w:tcW w:w="4040" w:type="dxa"/>
          </w:tcPr>
          <w:p w14:paraId="2DB0C68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eye 的 x 分量漂移 2.3e-15，反向可精确复原</w:t>
            </w:r>
          </w:p>
        </w:tc>
      </w:tr>
      <w:tr w14:paraId="54AFCF8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7355B055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交互与渲染</w:t>
            </w:r>
          </w:p>
        </w:tc>
        <w:tc>
          <w:tcPr>
            <w:tcW w:w="2520" w:type="dxa"/>
          </w:tcPr>
          <w:p w14:paraId="699B8DCF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逐项操作键盘鼠标并读取 gl.getError()</w:t>
            </w:r>
          </w:p>
        </w:tc>
        <w:tc>
          <w:tcPr>
            <w:tcW w:w="4040" w:type="dxa"/>
          </w:tcPr>
          <w:p w14:paraId="657997C9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全部正常，gl.getError() = 0，无控制台报错</w:t>
            </w:r>
          </w:p>
        </w:tc>
      </w:tr>
      <w:tr w14:paraId="181BCE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69BA3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新增模型包围盒</w:t>
            </w:r>
          </w:p>
        </w:tc>
        <w:tc>
          <w:tcPr>
            <w:tcW w:w="2520" w:type="dxa"/>
          </w:tcPr>
          <w:p w14:paraId="0B7026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检查归一化后的尺寸</w:t>
            </w:r>
          </w:p>
        </w:tc>
        <w:tc>
          <w:tcPr>
            <w:tcW w:w="4040" w:type="dxa"/>
          </w:tcPr>
          <w:p w14:paraId="6800FC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茶壶 2.56×1.26×1.60，纽结 2.40×1.44×2.60（均已居中，最大跨度 2.6）</w:t>
            </w:r>
          </w:p>
        </w:tc>
      </w:tr>
      <w:tr w14:paraId="181BCE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69BA3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太阳系层次矩阵</w:t>
            </w:r>
          </w:p>
        </w:tc>
        <w:tc>
          <w:tcPr>
            <w:tcW w:w="2520" w:type="dxa"/>
          </w:tcPr>
          <w:p w14:paraId="0B7026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t = 1 s 时取各天体矩阵的平移分量</w:t>
            </w:r>
          </w:p>
        </w:tc>
        <w:tc>
          <w:tcPr>
            <w:tcW w:w="4040" w:type="dxa"/>
          </w:tcPr>
          <w:p w14:paraId="6800FC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地球 (5.638, 0, 2.052)、月球 (5.378, 0, 0.575)，与手工推算一致（误差 &lt; 1e-6）</w:t>
            </w:r>
          </w:p>
        </w:tc>
      </w:tr>
      <w:tr w14:paraId="181BCE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69BA3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OBJ 解析</w:t>
            </w:r>
          </w:p>
        </w:tc>
        <w:tc>
          <w:tcPr>
            <w:tcW w:w="2520" w:type="dxa"/>
          </w:tcPr>
          <w:p w14:paraId="0B7026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导入含四边形面、负下标与 v/vt/vn 的测试文件</w:t>
            </w:r>
          </w:p>
        </w:tc>
        <w:tc>
          <w:tcPr>
            <w:tcW w:w="4040" w:type="dxa"/>
          </w:tcPr>
          <w:p w14:paraId="6800FC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3 个四边形 + 1 个三角形解析为 7 个三角形；空文件抛出提示</w:t>
            </w:r>
          </w:p>
        </w:tc>
      </w:tr>
      <w:tr w14:paraId="181BCE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69BA3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层次动画</w:t>
            </w:r>
          </w:p>
        </w:tc>
        <w:tc>
          <w:tcPr>
            <w:tcW w:w="2520" w:type="dxa"/>
          </w:tcPr>
          <w:p w14:paraId="0B7026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播放 1.2 s 后比较动画时间与截图，再暂停比较</w:t>
            </w:r>
          </w:p>
        </w:tc>
        <w:tc>
          <w:tcPr>
            <w:tcW w:w="4040" w:type="dxa"/>
          </w:tcPr>
          <w:p w14:paraId="6800FC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t 推进 1.32（速度 1×），截图不同；暂停后 t 不变、截图逐字节相同</w:t>
            </w:r>
          </w:p>
        </w:tc>
      </w:tr>
      <w:tr w14:paraId="181BCE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69BA3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齿轮组几何与转角</w:t>
            </w:r>
          </w:p>
        </w:tc>
        <w:tc>
          <w:tcPr>
            <w:tcW w:w="2520" w:type="dxa"/>
          </w:tcPr>
          <w:p w14:paraId="0B7026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统计分段与包围盒，并按 t = 1.5 s 读取三个矩阵的转角</w:t>
            </w:r>
          </w:p>
        </w:tc>
        <w:tc>
          <w:tcPr>
            <w:tcW w:w="4040" w:type="dxa"/>
          </w:tcPr>
          <w:p w14:paraId="6800FC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分段 1176/936/792（合计 2904）；包围盒 2.60×2.14×0.39；|θ| = 60°/80°/100°，相邻轮反向</w:t>
            </w:r>
          </w:p>
        </w:tc>
      </w:tr>
      <w:tr w14:paraId="181BCE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69BA3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齿轮组动画</w:t>
            </w:r>
          </w:p>
        </w:tc>
        <w:tc>
          <w:tcPr>
            <w:tcW w:w="2520" w:type="dxa"/>
          </w:tcPr>
          <w:p w14:paraId="0B7026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播放 1.1 s 后比较截图与动画时间，再暂停比较</w:t>
            </w:r>
          </w:p>
        </w:tc>
        <w:tc>
          <w:tcPr>
            <w:tcW w:w="4040" w:type="dxa"/>
          </w:tcPr>
          <w:p w14:paraId="6800FC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t 推进、截图不同；暂停后 t 不变、截图逐字节相同；动画面板随模型显示或隐藏</w:t>
            </w:r>
          </w:p>
        </w:tc>
      </w:tr>
      <w:tr>
        <w:tc>
          <w:tcPr>
            <w:tcW w:type="dxa" w:w="1720"/>
          </w:tcPr>
          <w:p>
            <w:r>
              <w:rPr>
                <w:rFonts w:ascii="微软雅黑" w:hAnsi="微软雅黑"/>
                <w:sz w:val="19"/>
              </w:rPr>
              <w:t>导入模型边线</w:t>
            </w:r>
          </w:p>
        </w:tc>
        <w:tc>
          <w:tcPr>
            <w:tcW w:type="dxa" w:w="2520"/>
          </w:tcPr>
          <w:p>
            <w:r>
              <w:rPr>
                <w:rFonts w:ascii="微软雅黑" w:hAnsi="微软雅黑"/>
                <w:sz w:val="19"/>
              </w:rPr>
              <w:t>导入立方体与 36×22 经纬球，统计去重后的棱边线段顶点数</w:t>
            </w:r>
          </w:p>
        </w:tc>
        <w:tc>
          <w:tcPr>
            <w:tcW w:type="dxa" w:w="4040"/>
          </w:tcPr>
          <w:p>
            <w:r>
              <w:rPr>
                <w:rFonts w:ascii="微软雅黑" w:hAnsi="微软雅黑"/>
                <w:sz w:val="19"/>
              </w:rPr>
              <w:t>立方体 18 条唯一棱边（36 顶点），球 2412 条（4824 顶点）；切回茶壶后边线段清零</w:t>
            </w:r>
          </w:p>
        </w:tc>
      </w:tr>
    </w:tbl>
    <w:p w14:paraId="6C9E0F4F">
      <w:pPr>
        <w:spacing w:after="40" w:line="240" w:lineRule="auto"/>
      </w:pPr>
    </w:p>
    <w:p w14:paraId="3478D7F8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8 心得与总结</w:t>
      </w:r>
    </w:p>
    <w:p w14:paraId="50295F94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做完这次实验，我对课件里那条“几何造型 → 模型变换 → 观察变换 → 投影变换 → 视见体裁剪”的流水线才算有了完整的体感。以前看 P·V·M 只是三个矩阵相乘，真正写起来才发现它描述的是一次坐标系的逐级降维：模型在自己的坐标系里建好，模型变换把它放进世界，观察变换把世界搬进相机，投影再把三维视见体压到标准化设备坐标。任何一步写错，都会在最后那张图上被放大成肉眼可见的错位。</w:t>
      </w:r>
    </w:p>
    <w:p w14:paraId="6F744E45">
      <w:pPr>
        <w:keepNext/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我对 lookAt 的理解也从公式变成了手上的操作。我一开始以为“绕世界 X 轴旋转”和“把 φ 加减一点”是一回事，直到发现地平线莫名其妙地倾斜，才意识到两者只在转轴恰好与视线垂直时等价。把 eye 与 up 当作刚体一起旋转之后，“观察变换由正交基 (n, u, v) 决定”这句话才真正落地。同样地，右键拖动最初只修改球面角度，结果世界 Y 轴怎么拖都钉在屏幕的竖直方向上——这也让我明白了，每帧重算 up 其实是在悄悄约束相机的姿态。</w:t>
      </w:r>
    </w:p>
    <w:p w14:paraId="51B6164E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附加功能上，我体会更深的是工程层面。同一个矩阵左乘还是右乘，语义完全不同；绝对映射与增量累加在可逆性上的差别，也是在鼠标拖回原点后画面对不上时才真切体会到。多 pass 绘制的深度状态、一段缓冲区里混有两种图元时的分段绘制、事件该挂在 canvas 还是 window、参数回显与手动输入的冲突，这些细节单独看都很小，凑在一起却直接决定“看起来是否正常”。</w:t>
      </w:r>
    </w:p>
    <w:p w14:paraId="1D6C2B6F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我最终交付的程序覆盖了基本要求的四项与附加项的四项：七种模型与外部 OBJ 网格都能正常渲染，层次动画在播放、暂停、变速与重置下行为一致，相机在大范围视角变化、投影切换与 0.2~10.0 的极限缩放下依然稳定，界面显示与场景状态始终同步。回头再看，最值得保留的经验是：先把变换链的每一步在纸面上推清楚，再动手写代码；遇到现象与预期不符时，先怀疑坐标系的约定，而不是先改参数。</w:t>
      </w:r>
    </w:p>
    <w:sectPr>
      <w:head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EE118">
    <w:pPr>
      <w:pStyle w:val="3"/>
      <w:rPr>
        <w:rFonts w:hint="eastAsia"/>
      </w:rPr>
    </w:pPr>
    <w:r>
      <w:rPr>
        <w:rFonts w:hint="eastAsia"/>
      </w:rPr>
      <w:t>计算机图形学</w:t>
    </w:r>
    <w:r>
      <w:t xml:space="preserve"> </w:t>
    </w:r>
    <w:r>
      <w:rPr>
        <w:rFonts w:hint="eastAsia"/>
      </w:rPr>
      <w:t>编程作业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798"/>
    <w:rsid w:val="00016745"/>
    <w:rsid w:val="00037BEE"/>
    <w:rsid w:val="000906FF"/>
    <w:rsid w:val="000B393D"/>
    <w:rsid w:val="000E5474"/>
    <w:rsid w:val="001066DD"/>
    <w:rsid w:val="00113F25"/>
    <w:rsid w:val="00143E09"/>
    <w:rsid w:val="00145F2A"/>
    <w:rsid w:val="001545C1"/>
    <w:rsid w:val="00170798"/>
    <w:rsid w:val="00187A07"/>
    <w:rsid w:val="001A72D7"/>
    <w:rsid w:val="001D224D"/>
    <w:rsid w:val="001D450D"/>
    <w:rsid w:val="001F7EFA"/>
    <w:rsid w:val="002425F5"/>
    <w:rsid w:val="002505B8"/>
    <w:rsid w:val="00281BB8"/>
    <w:rsid w:val="00286436"/>
    <w:rsid w:val="00304D01"/>
    <w:rsid w:val="003059E8"/>
    <w:rsid w:val="00307918"/>
    <w:rsid w:val="00325826"/>
    <w:rsid w:val="00330857"/>
    <w:rsid w:val="00330BB2"/>
    <w:rsid w:val="00332B2B"/>
    <w:rsid w:val="00335690"/>
    <w:rsid w:val="00347866"/>
    <w:rsid w:val="00352191"/>
    <w:rsid w:val="00385CBC"/>
    <w:rsid w:val="003D0740"/>
    <w:rsid w:val="003D4E31"/>
    <w:rsid w:val="00405D4F"/>
    <w:rsid w:val="004252BA"/>
    <w:rsid w:val="00430B17"/>
    <w:rsid w:val="00443554"/>
    <w:rsid w:val="00447360"/>
    <w:rsid w:val="00460D54"/>
    <w:rsid w:val="004D4120"/>
    <w:rsid w:val="004D57C0"/>
    <w:rsid w:val="004E093F"/>
    <w:rsid w:val="004E5E57"/>
    <w:rsid w:val="00521ED1"/>
    <w:rsid w:val="0052212C"/>
    <w:rsid w:val="00523104"/>
    <w:rsid w:val="00534839"/>
    <w:rsid w:val="00534889"/>
    <w:rsid w:val="005C0920"/>
    <w:rsid w:val="00651D95"/>
    <w:rsid w:val="006777C7"/>
    <w:rsid w:val="0068010B"/>
    <w:rsid w:val="006A1CB6"/>
    <w:rsid w:val="006D2906"/>
    <w:rsid w:val="006E7D46"/>
    <w:rsid w:val="006F12AD"/>
    <w:rsid w:val="00700E71"/>
    <w:rsid w:val="007053CC"/>
    <w:rsid w:val="0072412C"/>
    <w:rsid w:val="007314A3"/>
    <w:rsid w:val="00770177"/>
    <w:rsid w:val="00794291"/>
    <w:rsid w:val="007A4B32"/>
    <w:rsid w:val="007B0083"/>
    <w:rsid w:val="007C35CB"/>
    <w:rsid w:val="007E3B76"/>
    <w:rsid w:val="00806662"/>
    <w:rsid w:val="00833907"/>
    <w:rsid w:val="00841750"/>
    <w:rsid w:val="008437E5"/>
    <w:rsid w:val="0085064D"/>
    <w:rsid w:val="00857DF8"/>
    <w:rsid w:val="0087202F"/>
    <w:rsid w:val="00874FE4"/>
    <w:rsid w:val="008D6ED0"/>
    <w:rsid w:val="00906599"/>
    <w:rsid w:val="00912BDF"/>
    <w:rsid w:val="00935166"/>
    <w:rsid w:val="0094647E"/>
    <w:rsid w:val="00950049"/>
    <w:rsid w:val="00954A0B"/>
    <w:rsid w:val="00970833"/>
    <w:rsid w:val="0098554E"/>
    <w:rsid w:val="009B0B64"/>
    <w:rsid w:val="009D3FDD"/>
    <w:rsid w:val="009D6EA5"/>
    <w:rsid w:val="009E7BF7"/>
    <w:rsid w:val="009F20F0"/>
    <w:rsid w:val="009F7968"/>
    <w:rsid w:val="00A0398E"/>
    <w:rsid w:val="00A2301A"/>
    <w:rsid w:val="00A2687C"/>
    <w:rsid w:val="00A269E5"/>
    <w:rsid w:val="00A900CC"/>
    <w:rsid w:val="00AD1C85"/>
    <w:rsid w:val="00B300BB"/>
    <w:rsid w:val="00B44A7C"/>
    <w:rsid w:val="00B66564"/>
    <w:rsid w:val="00B8114E"/>
    <w:rsid w:val="00B82A35"/>
    <w:rsid w:val="00B85E8B"/>
    <w:rsid w:val="00BA32CC"/>
    <w:rsid w:val="00BE2284"/>
    <w:rsid w:val="00BF1545"/>
    <w:rsid w:val="00BF62CD"/>
    <w:rsid w:val="00C0557E"/>
    <w:rsid w:val="00C54627"/>
    <w:rsid w:val="00C82783"/>
    <w:rsid w:val="00C83012"/>
    <w:rsid w:val="00CD2FFC"/>
    <w:rsid w:val="00CE370C"/>
    <w:rsid w:val="00D16609"/>
    <w:rsid w:val="00D23191"/>
    <w:rsid w:val="00D378C6"/>
    <w:rsid w:val="00D54747"/>
    <w:rsid w:val="00D559F3"/>
    <w:rsid w:val="00D62AEB"/>
    <w:rsid w:val="00D677A3"/>
    <w:rsid w:val="00E330A9"/>
    <w:rsid w:val="00E658C7"/>
    <w:rsid w:val="00EB088A"/>
    <w:rsid w:val="00ED333F"/>
    <w:rsid w:val="00ED63F7"/>
    <w:rsid w:val="00F0165D"/>
    <w:rsid w:val="00F4387D"/>
    <w:rsid w:val="00FA43C6"/>
    <w:rsid w:val="00FD5612"/>
    <w:rsid w:val="00FE1097"/>
    <w:rsid w:val="00FE7A27"/>
    <w:rsid w:val="00FF2D31"/>
    <w:rsid w:val="3D530640"/>
    <w:rsid w:val="43E3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00" w:lineRule="exact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5"/>
    <w:link w:val="2"/>
    <w:uiPriority w:val="99"/>
    <w:rPr>
      <w:sz w:val="18"/>
      <w:szCs w:val="18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DoubleOX</Company>
  <Pages>11</Pages>
  <Words>4988</Words>
  <Characters>6152</Characters>
  <Lines>8</Lines>
  <Paragraphs>13</Paragraphs>
  <TotalTime>6</TotalTime>
  <ScaleCrop>false</ScaleCrop>
  <LinksUpToDate>false</LinksUpToDate>
  <CharactersWithSpaces>6662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2020-09-01T07:16:00Z</dcterms:created>
  <dc:creator>690051933@qq.com</dc:creator>
  <cp:lastModifiedBy>独</cp:lastModifiedBy>
  <dcterms:modified xsi:type="dcterms:W3CDTF">2026-10-21T09:13:51Z</dcterms:modified>
  <cp:revision>122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eyJoZGlkIjoiZDMyMmIyOWZjYzI2YjI0YTg1OTY3MGQyNGY4ZmYwYjciLCJ1c2VySWQiOiIxMjcxMzc5NDE0In0=</vt:lpwstr>
  </property>
  <property fmtid="{D5CDD505-2E9C-101B-9397-08002B2CF9AE}" pid="3" name="KSOProductBuildVer">
    <vt:lpwstr>2052-12.1.0.29158</vt:lpwstr>
  </property>
  <property fmtid="{D5CDD505-2E9C-101B-9397-08002B2CF9AE}" pid="4" name="ICV">
    <vt:lpwstr>FB68FA712642456A970678C02E2DEF80_12</vt:lpwstr>
  </property>
</Properties>
</file>