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d9eyewo07vp" w:id="0"/>
      <w:bookmarkEnd w:id="0"/>
      <w:r w:rsidDel="00000000" w:rsidR="00000000" w:rsidRPr="00000000">
        <w:rPr>
          <w:rFonts w:ascii="Times New Roman" w:cs="Times New Roman" w:eastAsia="Times New Roman" w:hAnsi="Times New Roman"/>
          <w:rtl w:val="0"/>
        </w:rPr>
        <w:t xml:space="preserve">Referat fra vejledermøde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Dato: 21-03-2023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Tid: 14.15</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Sted: shannon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Fremmødte:</w:t>
      </w:r>
      <w:r w:rsidDel="00000000" w:rsidR="00000000" w:rsidRPr="00000000">
        <w:rPr>
          <w:rFonts w:ascii="Times New Roman" w:cs="Times New Roman" w:eastAsia="Times New Roman" w:hAnsi="Times New Roman"/>
          <w:rtl w:val="0"/>
        </w:rPr>
        <w:t xml:space="preserve"> Kristian, Asger, Rasmus, JanJakob og Jonas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Udeblevet med afbud:</w:t>
      </w:r>
      <w:r w:rsidDel="00000000" w:rsidR="00000000" w:rsidRPr="00000000">
        <w:rPr>
          <w:rFonts w:ascii="Times New Roman" w:cs="Times New Roman" w:eastAsia="Times New Roman" w:hAnsi="Times New Roman"/>
          <w:rtl w:val="0"/>
        </w:rPr>
        <w:t xml:space="preserve"> Anette, Michelle og Szymon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Udeblevet uden afbud: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Dagsorden:</w:t>
      </w: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Feedback på IBD/BDD</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Feedback på applikationsmodel</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Teknologi- og risikoanalyse - er det sådan, det skal se ud?</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Første sprint</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Eventuelt opståede udfordringer med individuelt arbejde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Tidspunkt for næste møde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Aktionspunkter til næste møde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Evt.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Referat</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Vi skal ikke have kommunikationsmetoden med i IBD og BDD. Men man må godt kigge på om det skal være med eller uden tråd. Ifth powersupply ved vi ikke om der skal bruges 12V eller 6V men det er en god ide at have en block der hedder powersupply der lægger an til at muligheden for forskellige spændinger i systemet.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Nu ligger vi den fast og så kan vi altid gå tilbage og kigge på det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ingen kommentar - han kan ikke se en anden måde at gøre det på så det er godt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Lars synes ikke vi skal pille mere ved den også synes han at vi skal snakke om den til næste uge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have et punkt der hedder input fra review i næste mødevejledning</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Synes det virker lidt ambitiøst men kan godt forstå at vi starter meget bredt og for kigget på mange ting.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have et punkt med evaluering af første sprint på dagsordenen til næste vejledermøde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Der har ikke været så mange udfordringer endnu</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onsdag  d. 29 12:30 (så kan vi nå at snakke inden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input fra review</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sprint evaluering</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planlægning eller start på snak om næste møde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det giver ikke mening af have en produkt owner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