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_rels/document.xml.rels" ContentType="application/vnd.openxmlformats-package.relationships+xml"/>
  <Override PartName="/word/header3.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oter2.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Opposition</w:t>
      </w:r>
      <w:r>
        <w:fldChar w:fldCharType="begin"/>
      </w:r>
      <w:r>
        <w:rPr/>
        <w:instrText xml:space="preserve"> XE "opposition" </w:instrText>
      </w:r>
      <w:r>
        <w:rPr/>
        <w:fldChar w:fldCharType="separate"/>
      </w:r>
      <w:r>
        <w:rPr/>
      </w:r>
      <w:r>
        <w:rPr/>
        <w:fldChar w:fldCharType="end"/>
      </w:r>
    </w:p>
    <w:p>
      <w:pPr>
        <w:pStyle w:val="BodyText"/>
        <w:rPr/>
      </w:pPr>
      <w:r>
        <w:rPr/>
        <w:t>Mot slutet av examensarbetet ska arbetet granskas för att säkerställa kvaliteten på arbetet och rapporten. Intern granskning av materialet är viktig, där författaren själv grundligt går igenom rapporten och även handledaren granskar och följer upp innehållet i syfte att ge förbättringsförslag. Extern granskning sker av examinator i syfte att avgöra om examensarbetet har tillräckligt hög kvalitet och rapporten kan godkännas. Det är också normalt att extern granskning sker av en eller flera oberoende opponenter i ett planerat oppositionsförfarande. Dessa opponenter är studenter som själva utför eget examensarbete och oppositionen ingår som ett viktigt lärandemoment med målet att träna granskning av andras arbete och samtidigt få värdefull återkoppling från andra. Att både ge och ta konstruktiv kritik är en grundbult i ett vetenskapligt förhållningssätt.</w:t>
      </w:r>
    </w:p>
    <w:p>
      <w:pPr>
        <w:pStyle w:val="BodyText"/>
        <w:rPr/>
      </w:pPr>
      <w:r>
        <w:rPr/>
        <w:t xml:space="preserve">Att genomföra opposition tar normalt ett par veckors arbete och innebär att man noggrant läser en nästan färdig rapport och sammanställer kritik i form av konstruktiva förbättringsförslag och intressanta frågeställningar att diskutera. I samband med att examensarbetet presenteras av författarna redogör även opponenterna muntligt för sin kritik och deltar aktivt i diskussioner om arbetet med författarna. </w:t>
      </w:r>
    </w:p>
    <w:p>
      <w:pPr>
        <w:pStyle w:val="BodyText"/>
        <w:rPr/>
      </w:pPr>
      <w:r>
        <w:rPr/>
        <w:t>Genom att läsa en annan rapport får man bra inblick i hur en rapport kan skrivas, hur metodik och relaterat arbete knyts ihop med resultaten etc. Konkreta exempel på hur andra har gjort är väldigt värdefulla i det egna arbetet. För att som opponent få ut mesta möjliga att arbetsinsatsen kan man därför med fördel göra detta i ett ganska tidigt skede i sitt eget examensarbete.</w:t>
      </w:r>
    </w:p>
    <w:p>
      <w:pPr>
        <w:pStyle w:val="BodyText"/>
        <w:rPr/>
      </w:pPr>
      <w:r>
        <w:rPr/>
        <w:t>Delstegen i oppositionsarbetet kan typiskt se ut som följer.</w:t>
      </w:r>
    </w:p>
    <w:p>
      <w:pPr>
        <w:pStyle w:val="BodyText"/>
        <w:numPr>
          <w:ilvl w:val="0"/>
          <w:numId w:val="4"/>
        </w:numPr>
        <w:rPr/>
      </w:pPr>
      <w:r>
        <w:rPr>
          <w:i/>
          <w:iCs/>
        </w:rPr>
        <w:t>Leta examensarbeten som börjar bli färdiga</w:t>
      </w:r>
      <w:r>
        <w:rPr/>
        <w:t xml:space="preserve">: Många utbildningsprogram har en organisation för att förmedla oppositionsuppdrag, t ex via en hemsida. Det är normalt examensarbetarnas eget ansvar att hitta arbeten att opponera på. Det gör inget om ämnet för rapporten man opponerar på är ett helt annat än det man själv gör examensarbete inom – det bidrar i så fall positivt till en breddning av den egna kompetensen. </w:t>
      </w:r>
    </w:p>
    <w:p>
      <w:pPr>
        <w:pStyle w:val="BodyText"/>
        <w:numPr>
          <w:ilvl w:val="0"/>
          <w:numId w:val="4"/>
        </w:numPr>
        <w:rPr/>
      </w:pPr>
      <w:r>
        <w:rPr>
          <w:i/>
          <w:iCs/>
        </w:rPr>
        <w:t>Få tillgång till en nästan färdig rapport</w:t>
      </w:r>
      <w:r>
        <w:rPr/>
        <w:t>: Detta sker typiskt genom att opponenterna kontaktar författarna direkt och kommer överens om när och hur en lämplig version av rapporten kan levereras.</w:t>
      </w:r>
    </w:p>
    <w:p>
      <w:pPr>
        <w:pStyle w:val="BodyText"/>
        <w:numPr>
          <w:ilvl w:val="0"/>
          <w:numId w:val="4"/>
        </w:numPr>
        <w:rPr/>
      </w:pPr>
      <w:r>
        <w:rPr>
          <w:i/>
          <w:iCs/>
        </w:rPr>
        <w:t>Aktiva studier av rapporten</w:t>
      </w:r>
      <w:r>
        <w:rPr/>
        <w:t xml:space="preserve">: Detta innebär att på djupet försöka förstå målsättningar, metoder och resultat. Detta kräver ofta att man följer upp nyckelreferenser och allmänbildar sig inom området. Följande frågor kan vara bra att ha i åtanke när man läser: </w:t>
      </w:r>
    </w:p>
    <w:p>
      <w:pPr>
        <w:pStyle w:val="BodyText"/>
        <w:numPr>
          <w:ilvl w:val="1"/>
          <w:numId w:val="4"/>
        </w:numPr>
        <w:tabs>
          <w:tab w:val="left" w:pos="720" w:leader="none"/>
        </w:tabs>
        <w:ind w:hanging="360" w:start="720" w:end="0"/>
        <w:rPr/>
      </w:pPr>
      <w:r>
        <w:rPr/>
        <w:t>Är målsättningar och problemformuleringar tydliga och relevanta?</w:t>
      </w:r>
    </w:p>
    <w:p>
      <w:pPr>
        <w:pStyle w:val="BodyText"/>
        <w:numPr>
          <w:ilvl w:val="1"/>
          <w:numId w:val="4"/>
        </w:numPr>
        <w:tabs>
          <w:tab w:val="left" w:pos="720" w:leader="none"/>
        </w:tabs>
        <w:ind w:hanging="360" w:start="720" w:end="0"/>
        <w:rPr/>
      </w:pPr>
      <w:r>
        <w:rPr/>
        <w:t>Är källor och referenser till relaterat arbete relevanta och välbeskrivna?</w:t>
      </w:r>
    </w:p>
    <w:p>
      <w:pPr>
        <w:pStyle w:val="BodyText"/>
        <w:numPr>
          <w:ilvl w:val="1"/>
          <w:numId w:val="4"/>
        </w:numPr>
        <w:tabs>
          <w:tab w:val="left" w:pos="720" w:leader="none"/>
        </w:tabs>
        <w:ind w:hanging="360" w:start="720" w:end="0"/>
        <w:rPr/>
      </w:pPr>
      <w:r>
        <w:rPr/>
        <w:t>Är metodiken för arbetet välbeskriven och metodvalet lämpligt?</w:t>
      </w:r>
    </w:p>
    <w:p>
      <w:pPr>
        <w:pStyle w:val="BodyText"/>
        <w:numPr>
          <w:ilvl w:val="1"/>
          <w:numId w:val="4"/>
        </w:numPr>
        <w:tabs>
          <w:tab w:val="left" w:pos="720" w:leader="none"/>
        </w:tabs>
        <w:ind w:hanging="360" w:start="720" w:end="0"/>
        <w:rPr/>
      </w:pPr>
      <w:r>
        <w:rPr/>
        <w:t>Är resultaten välunderbyggda, intressanta och välbeskrivna?</w:t>
      </w:r>
    </w:p>
    <w:p>
      <w:pPr>
        <w:pStyle w:val="BodyText"/>
        <w:numPr>
          <w:ilvl w:val="1"/>
          <w:numId w:val="4"/>
        </w:numPr>
        <w:tabs>
          <w:tab w:val="left" w:pos="720" w:leader="none"/>
        </w:tabs>
        <w:ind w:hanging="360" w:start="720" w:end="0"/>
        <w:rPr/>
      </w:pPr>
      <w:r>
        <w:rPr/>
        <w:t>Uppnår resultaten målsättningarna?</w:t>
      </w:r>
    </w:p>
    <w:p>
      <w:pPr>
        <w:pStyle w:val="BodyText"/>
        <w:numPr>
          <w:ilvl w:val="1"/>
          <w:numId w:val="4"/>
        </w:numPr>
        <w:tabs>
          <w:tab w:val="left" w:pos="720" w:leader="none"/>
        </w:tabs>
        <w:ind w:hanging="360" w:start="720" w:end="0"/>
        <w:rPr/>
      </w:pPr>
      <w:r>
        <w:rPr/>
        <w:t>Är arbetet genomfört på ett ingenjörmässigt och vetenskaplighet sätt? (se kapitel 2)</w:t>
      </w:r>
    </w:p>
    <w:p>
      <w:pPr>
        <w:pStyle w:val="BodyText"/>
        <w:numPr>
          <w:ilvl w:val="1"/>
          <w:numId w:val="4"/>
        </w:numPr>
        <w:tabs>
          <w:tab w:val="left" w:pos="720" w:leader="none"/>
        </w:tabs>
        <w:ind w:hanging="360" w:start="720" w:end="0"/>
        <w:rPr/>
      </w:pPr>
      <w:r>
        <w:rPr/>
        <w:t>Är rapportens språk och disposition bra?</w:t>
      </w:r>
    </w:p>
    <w:p>
      <w:pPr>
        <w:pStyle w:val="BodyText"/>
        <w:numPr>
          <w:ilvl w:val="1"/>
          <w:numId w:val="4"/>
        </w:numPr>
        <w:tabs>
          <w:tab w:val="left" w:pos="720" w:leader="none"/>
        </w:tabs>
        <w:ind w:hanging="360" w:start="720" w:end="0"/>
        <w:rPr/>
      </w:pPr>
      <w:r>
        <w:rPr/>
        <w:t>Vad är oklart?</w:t>
      </w:r>
    </w:p>
    <w:p>
      <w:pPr>
        <w:pStyle w:val="BodyText"/>
        <w:numPr>
          <w:ilvl w:val="1"/>
          <w:numId w:val="4"/>
        </w:numPr>
        <w:tabs>
          <w:tab w:val="left" w:pos="720" w:leader="none"/>
        </w:tabs>
        <w:ind w:hanging="360" w:start="720" w:end="0"/>
        <w:rPr/>
      </w:pPr>
      <w:r>
        <w:rPr/>
        <w:t>Vad kan förbättras?</w:t>
      </w:r>
    </w:p>
    <w:p>
      <w:pPr>
        <w:pStyle w:val="BodyText"/>
        <w:numPr>
          <w:ilvl w:val="1"/>
          <w:numId w:val="4"/>
        </w:numPr>
        <w:tabs>
          <w:tab w:val="left" w:pos="720" w:leader="none"/>
        </w:tabs>
        <w:ind w:hanging="360" w:start="720" w:end="0"/>
        <w:rPr/>
      </w:pPr>
      <w:r>
        <w:rPr/>
        <w:t>Vad hade kunnat göras annorlunda?</w:t>
      </w:r>
    </w:p>
    <w:p>
      <w:pPr>
        <w:pStyle w:val="BodyText"/>
        <w:numPr>
          <w:ilvl w:val="0"/>
          <w:numId w:val="4"/>
        </w:numPr>
        <w:rPr/>
      </w:pPr>
      <w:r>
        <w:rPr>
          <w:i/>
          <w:iCs/>
        </w:rPr>
        <w:t>Sammanställning av konstruktiv kritik och frågeställningar</w:t>
      </w:r>
      <w:r>
        <w:rPr/>
        <w:t>. Medan man läser rapporten noterar man viktiga frågeställningar, eventuella brister och möjliga förbättringsområden. Kommentarerna bör vara riktade mot substansen i arbetet snarare än på smådetaljer och fokusera på förbättringsmöjligheter. Kritiken sammanställs i en skriftlig oppositionsrapport som överlämnas till författarna efter den muntliga oppositionen.</w:t>
      </w:r>
    </w:p>
    <w:p>
      <w:pPr>
        <w:pStyle w:val="BodyText"/>
        <w:numPr>
          <w:ilvl w:val="0"/>
          <w:numId w:val="4"/>
        </w:numPr>
        <w:rPr/>
      </w:pPr>
      <w:r>
        <w:rPr>
          <w:i/>
          <w:iCs/>
        </w:rPr>
        <w:t>Genomförande av muntlig opposition</w:t>
      </w:r>
      <w:r>
        <w:rPr/>
        <w:t>. När författarna har presenterat examensarbetet genomför opponenterna en muntlig opposition, ofta modererad av examinatorn. Om mer än en student agerar opponent är det bra att i förväg komma överens om hur oppositionstillfället delas upp. Ofta är den skriftliga oppositionsrapporten så innehållsrik att man får prioritera vad som tas upp under den muntliga oppositionen. Det viktigaste är att hela tiden försöka vara konstruktiv och bidra till en intressant och relevant diskussion. Nedan följer fler råd inför genomförandet av den muntliga oppositionen:</w:t>
      </w:r>
    </w:p>
    <w:p>
      <w:pPr>
        <w:pStyle w:val="BodyText"/>
        <w:numPr>
          <w:ilvl w:val="1"/>
          <w:numId w:val="4"/>
        </w:numPr>
        <w:tabs>
          <w:tab w:val="left" w:pos="720" w:leader="none"/>
        </w:tabs>
        <w:ind w:hanging="360" w:start="720" w:end="0"/>
        <w:rPr/>
      </w:pPr>
      <w:r>
        <w:rPr/>
        <w:t>Inled gärna med att presentera dig själv och din bakgrund, samt dina förkunskaper och ditt intresse för området.</w:t>
      </w:r>
    </w:p>
    <w:p>
      <w:pPr>
        <w:pStyle w:val="BodyText"/>
        <w:numPr>
          <w:ilvl w:val="1"/>
          <w:numId w:val="4"/>
        </w:numPr>
        <w:tabs>
          <w:tab w:val="left" w:pos="720" w:leader="none"/>
        </w:tabs>
        <w:ind w:hanging="360" w:start="720" w:end="0"/>
        <w:rPr/>
      </w:pPr>
      <w:r>
        <w:rPr/>
        <w:t>Börja med ett övergripande omdöme med tyngdpunkt på positiva delar i rapporten. Ge även kommentarer om den muntliga presentationen av rapporten.</w:t>
      </w:r>
    </w:p>
    <w:p>
      <w:pPr>
        <w:pStyle w:val="BodyText"/>
        <w:numPr>
          <w:ilvl w:val="1"/>
          <w:numId w:val="4"/>
        </w:numPr>
        <w:tabs>
          <w:tab w:val="left" w:pos="720" w:leader="none"/>
        </w:tabs>
        <w:ind w:hanging="360" w:start="720" w:end="0"/>
        <w:rPr/>
      </w:pPr>
      <w:r>
        <w:rPr/>
        <w:t>Välj frågor som stimulerar till diskussion.</w:t>
      </w:r>
    </w:p>
    <w:p>
      <w:pPr>
        <w:pStyle w:val="BodyText"/>
        <w:numPr>
          <w:ilvl w:val="1"/>
          <w:numId w:val="4"/>
        </w:numPr>
        <w:tabs>
          <w:tab w:val="left" w:pos="720" w:leader="none"/>
        </w:tabs>
        <w:ind w:hanging="360" w:start="720" w:end="0"/>
        <w:rPr/>
      </w:pPr>
      <w:r>
        <w:rPr/>
        <w:t>Välj frågor som ger de författarna möjlighet att komplettera och förklara.</w:t>
      </w:r>
    </w:p>
    <w:p>
      <w:pPr>
        <w:pStyle w:val="BodyText"/>
        <w:numPr>
          <w:ilvl w:val="1"/>
          <w:numId w:val="4"/>
        </w:numPr>
        <w:tabs>
          <w:tab w:val="left" w:pos="720" w:leader="none"/>
        </w:tabs>
        <w:ind w:hanging="360" w:start="720" w:end="0"/>
        <w:rPr/>
      </w:pPr>
      <w:r>
        <w:rPr/>
        <w:t>Välj frågor som ger författarna möjlighet att försvara eventuella brister och problem.</w:t>
      </w:r>
    </w:p>
    <w:p>
      <w:pPr>
        <w:pStyle w:val="BodyText"/>
        <w:numPr>
          <w:ilvl w:val="1"/>
          <w:numId w:val="4"/>
        </w:numPr>
        <w:tabs>
          <w:tab w:val="left" w:pos="720" w:leader="none"/>
        </w:tabs>
        <w:ind w:hanging="360" w:start="720" w:end="0"/>
        <w:rPr/>
      </w:pPr>
      <w:r>
        <w:rPr/>
        <w:t>Se till att oppositionen hinner täcka arbetet på bredden, innefattande målsättningar, metod, och resultat.</w:t>
      </w:r>
    </w:p>
    <w:p>
      <w:pPr>
        <w:pStyle w:val="BodyText"/>
        <w:numPr>
          <w:ilvl w:val="1"/>
          <w:numId w:val="4"/>
        </w:numPr>
        <w:tabs>
          <w:tab w:val="left" w:pos="720" w:leader="none"/>
        </w:tabs>
        <w:ind w:hanging="360" w:start="720" w:end="0"/>
        <w:rPr/>
      </w:pPr>
      <w:r>
        <w:rPr/>
        <w:t>Se till att oppositionen täcker någon del på djupet och ger författarna chans att diskutera konkreta aspekter av arbetet.</w:t>
      </w:r>
    </w:p>
    <w:p>
      <w:pPr>
        <w:pStyle w:val="BodyText"/>
        <w:numPr>
          <w:ilvl w:val="1"/>
          <w:numId w:val="4"/>
        </w:numPr>
        <w:tabs>
          <w:tab w:val="left" w:pos="720" w:leader="none"/>
        </w:tabs>
        <w:ind w:hanging="360" w:start="720" w:end="0"/>
        <w:rPr/>
      </w:pPr>
      <w:r>
        <w:rPr/>
        <w:t xml:space="preserve">Ställ inte frågor på smådetaljer och kommentera inte stavfel och lättåtgärdade eller triviala brister – dessa lämnas till den skriftliga oppositionsrapporten. </w:t>
      </w:r>
    </w:p>
    <w:p>
      <w:pPr>
        <w:pStyle w:val="BodyText"/>
        <w:numPr>
          <w:ilvl w:val="1"/>
          <w:numId w:val="4"/>
        </w:numPr>
        <w:tabs>
          <w:tab w:val="left" w:pos="720" w:leader="none"/>
        </w:tabs>
        <w:ind w:hanging="360" w:start="720" w:end="0"/>
        <w:rPr/>
      </w:pPr>
      <w:r>
        <w:rPr/>
        <w:t>Om du inte tycker att författarna svarat på frågan eller bidragit till en uttömmande diskussion, ställ gärna följdfrågor eller försök förtydliga frågeställningen.</w:t>
      </w:r>
    </w:p>
    <w:p>
      <w:pPr>
        <w:pStyle w:val="BodyText"/>
        <w:numPr>
          <w:ilvl w:val="1"/>
          <w:numId w:val="4"/>
        </w:numPr>
        <w:tabs>
          <w:tab w:val="left" w:pos="720" w:leader="none"/>
        </w:tabs>
        <w:ind w:hanging="360" w:start="720" w:end="0"/>
        <w:rPr/>
      </w:pPr>
      <w:r>
        <w:rPr/>
        <w:t>Håll inte läxförhör och ställ inte frågor med syfte att enbart ”sätta dit” författarna. Oppositionen är menat att vara ett givande intellektuellt utbyte och inte en rättegång.</w:t>
      </w:r>
    </w:p>
    <w:p>
      <w:pPr>
        <w:pStyle w:val="BodyText"/>
        <w:numPr>
          <w:ilvl w:val="1"/>
          <w:numId w:val="4"/>
        </w:numPr>
        <w:tabs>
          <w:tab w:val="left" w:pos="720" w:leader="none"/>
        </w:tabs>
        <w:ind w:hanging="360" w:start="720" w:end="0"/>
        <w:rPr/>
      </w:pPr>
      <w:r>
        <w:rPr/>
        <w:t>Avsluta gärna med en sammanfattning och ett värderande omdöme.</w:t>
      </w:r>
    </w:p>
    <w:p>
      <w:pPr>
        <w:pStyle w:val="BodyText"/>
        <w:numPr>
          <w:ilvl w:val="0"/>
          <w:numId w:val="4"/>
        </w:numPr>
        <w:rPr/>
      </w:pPr>
      <w:r>
        <w:rPr>
          <w:i/>
          <w:iCs/>
        </w:rPr>
        <w:t>Godkännande av opposition</w:t>
      </w:r>
      <w:r>
        <w:rPr/>
        <w:t>.</w:t>
      </w:r>
      <w:r>
        <w:rPr>
          <w:b/>
          <w:bCs/>
        </w:rPr>
        <w:t xml:space="preserve"> </w:t>
      </w:r>
      <w:r>
        <w:rPr/>
        <w:t>Normalt är det examinatorn för de granskade författarna som bedömer oppositionens kvalitet och meddelar denna till opponenternas examinator. Är oppositionen tillfredsställande registreras godkännande av oppositionsdelen.</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835" w:right="2835" w:gutter="0" w:header="2693" w:top="3232" w:footer="2948" w:bottom="3402"/>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tone Serif">
    <w:charset w:val="00" w:characterSet="windows-1252"/>
    <w:family w:val="roman"/>
    <w:pitch w:val="variable"/>
  </w:font>
  <w:font w:name="Stone Sans">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Courier New">
    <w:charset w:val="00" w:characterSet="windows-1252"/>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jc w:val="end"/>
      <w:rPr/>
    </w:pPr>
    <w:r>
      <w:rPr>
        <w:rFonts w:eastAsia="Symbol" w:cs="Symbol" w:ascii="Symbol" w:hAnsi="Symbol"/>
      </w:rPr>
      <w:sym w:font="Symbol" w:char="f0d3"/>
    </w:r>
    <w:r>
      <w:rPr>
        <w:rFonts w:eastAsia="Stone Serif"/>
      </w:rPr>
      <w:t xml:space="preserve">  </w:t>
    </w:r>
    <w:r>
      <w:rPr/>
      <w:t>Författaren och Studentlitteratur</w:t>
    </w:r>
    <w:r>
      <mc:AlternateContent>
        <mc:Choice Requires="wps">
          <w:drawing>
            <wp:anchor behindDoc="0" distT="0" distB="0" distL="0" distR="0" simplePos="0" locked="0" layoutInCell="0" allowOverlap="1" relativeHeight="5">
              <wp:simplePos x="0" y="0"/>
              <wp:positionH relativeFrom="margin">
                <wp:align>right</wp:align>
              </wp:positionH>
              <wp:positionV relativeFrom="paragraph">
                <wp:posOffset>635</wp:posOffset>
              </wp:positionV>
              <wp:extent cx="83185" cy="241300"/>
              <wp:effectExtent l="0" t="0" r="0" b="0"/>
              <wp:wrapSquare wrapText="bothSides"/>
              <wp:docPr id="1" name="Frame3"/>
              <a:graphic xmlns:a="http://schemas.openxmlformats.org/drawingml/2006/main">
                <a:graphicData uri="http://schemas.microsoft.com/office/word/2010/wordprocessingShape">
                  <wps:wsp>
                    <wps:cNvSpPr txBox="1"/>
                    <wps:spPr>
                      <a:xfrm>
                        <a:off x="0" y="0"/>
                        <a:ext cx="83185" cy="241300"/>
                      </a:xfrm>
                      <a:prstGeom prst="rect"/>
                      <a:solidFill>
                        <a:srgbClr val="FFFFFF">
                          <a:alpha val="0"/>
                        </a:srgbClr>
                      </a:solidFill>
                    </wps:spPr>
                    <wps:txbx>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55pt;height:19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txbxContent>
              </v:textbox>
              <w10:wrap type="square"/>
            </v:rect>
          </w:pict>
        </mc:Fallback>
      </mc:AlternateContent>
    </w:r>
  </w:p>
  <w:p>
    <w:pPr>
      <w:pStyle w:val="Footer"/>
      <w:ind w:firstLine="360" w:end="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rPr/>
    </w:pPr>
    <w:r>
      <w:rPr>
        <w:rFonts w:eastAsia="Symbol" w:cs="Symbol" w:ascii="Symbol" w:hAnsi="Symbol"/>
      </w:rPr>
      <w:sym w:font="Symbol" w:char="f0d3"/>
    </w:r>
    <w:r>
      <w:rPr>
        <w:rFonts w:eastAsia="Stone Serif"/>
      </w:rPr>
      <w:t xml:space="preserve">  </w:t>
    </w:r>
    <w:r>
      <w:rPr/>
      <w:t>Författaren och Studentlitteratur</w:t>
    </w:r>
    <w:r>
      <mc:AlternateContent>
        <mc:Choice Requires="wps">
          <w:drawing>
            <wp:anchor behindDoc="0" distT="0" distB="0" distL="0" distR="0" simplePos="0" locked="0" layoutInCell="0" allowOverlap="1" relativeHeight="3">
              <wp:simplePos x="0" y="0"/>
              <wp:positionH relativeFrom="margin">
                <wp:align>right</wp:align>
              </wp:positionH>
              <wp:positionV relativeFrom="paragraph">
                <wp:posOffset>635</wp:posOffset>
              </wp:positionV>
              <wp:extent cx="83185" cy="241300"/>
              <wp:effectExtent l="0" t="0" r="0" b="0"/>
              <wp:wrapSquare wrapText="bothSides"/>
              <wp:docPr id="2" name="Frame2"/>
              <a:graphic xmlns:a="http://schemas.openxmlformats.org/drawingml/2006/main">
                <a:graphicData uri="http://schemas.microsoft.com/office/word/2010/wordprocessingShape">
                  <wps:wsp>
                    <wps:cNvSpPr txBox="1"/>
                    <wps:spPr>
                      <a:xfrm>
                        <a:off x="0" y="0"/>
                        <a:ext cx="83185" cy="241300"/>
                      </a:xfrm>
                      <a:prstGeom prst="rect"/>
                      <a:solidFill>
                        <a:srgbClr val="FFFFFF">
                          <a:alpha val="0"/>
                        </a:srgbClr>
                      </a:solidFill>
                    </wps:spPr>
                    <wps:txbx>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55pt;height:19pt;mso-wrap-distance-left:0pt;mso-wrap-distance-right:0pt;mso-wrap-distance-top:0pt;mso-wrap-distance-bottom:0pt;margin-top:0.05pt;mso-position-vertical-relative:text;margin-left:305.25pt;mso-position-horizontal:outside;mso-position-horizontal-relative:margin">
              <v:fill opacity="0f"/>
              <v:textbox inset="0in,0in,0in,0in">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fSidfot"/>
      <w:spacing w:before="120" w:after="0"/>
      <w:rPr/>
    </w:pPr>
    <w:r>
      <w:rPr>
        <w:rFonts w:eastAsia="Symbol" w:cs="Symbol" w:ascii="Symbol" w:hAnsi="Symbol"/>
      </w:rPr>
      <w:sym w:font="Symbol" w:char="f0d3"/>
    </w:r>
    <w:r>
      <w:rPr>
        <w:rFonts w:eastAsia="Stone Serif"/>
      </w:rPr>
      <w:t xml:space="preserve">  </w:t>
    </w:r>
    <w:r>
      <w:rPr/>
      <w:t>Författaren och Studentlitteratur</w:t>
    </w:r>
    <w:r>
      <mc:AlternateContent>
        <mc:Choice Requires="wps">
          <w:drawing>
            <wp:anchor behindDoc="0" distT="0" distB="0" distL="0" distR="0" simplePos="0" locked="0" layoutInCell="0" allowOverlap="1" relativeHeight="2">
              <wp:simplePos x="0" y="0"/>
              <wp:positionH relativeFrom="margin">
                <wp:align>right</wp:align>
              </wp:positionH>
              <wp:positionV relativeFrom="paragraph">
                <wp:posOffset>635</wp:posOffset>
              </wp:positionV>
              <wp:extent cx="83185" cy="241300"/>
              <wp:effectExtent l="0" t="0" r="0" b="0"/>
              <wp:wrapSquare wrapText="bothSides"/>
              <wp:docPr id="3" name="Frame1"/>
              <a:graphic xmlns:a="http://schemas.openxmlformats.org/drawingml/2006/main">
                <a:graphicData uri="http://schemas.microsoft.com/office/word/2010/wordprocessingShape">
                  <wps:wsp>
                    <wps:cNvSpPr txBox="1"/>
                    <wps:spPr>
                      <a:xfrm>
                        <a:off x="0" y="0"/>
                        <a:ext cx="83185" cy="241300"/>
                      </a:xfrm>
                      <a:prstGeom prst="rect"/>
                      <a:solidFill>
                        <a:srgbClr val="FFFFFF">
                          <a:alpha val="0"/>
                        </a:srgbClr>
                      </a:solidFill>
                    </wps:spPr>
                    <wps:txbx>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55pt;height:19pt;mso-wrap-distance-left:0pt;mso-wrap-distance-right:0pt;mso-wrap-distance-top:0pt;mso-wrap-distance-bottom:0pt;margin-top:0.05pt;mso-position-vertical-relative:text;margin-left:305.25pt;mso-position-horizontal:outside;mso-position-horizontal-relative:margin">
              <v:fill opacity="0f"/>
              <v:textbox inset="0in,0in,0in,0in">
                <w:txbxContent>
                  <w:p>
                    <w:pPr>
                      <w:pStyle w:val="Footer"/>
                      <w:spacing w:before="120" w:after="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12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hSidhuvud"/>
      <w:spacing w:before="120" w:after="0"/>
      <w:jc w:val="end"/>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1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680"/>
        </w:tabs>
        <w:ind w:start="680" w:hanging="680"/>
      </w:pPr>
      <w:rPr/>
    </w:lvl>
    <w:lvl w:ilvl="1">
      <w:start w:val="1"/>
      <w:numFmt w:val="decimal"/>
      <w:lvlText w:val="%1.%2"/>
      <w:lvlJc w:val="start"/>
      <w:pPr>
        <w:tabs>
          <w:tab w:val="num" w:pos="680"/>
        </w:tabs>
        <w:ind w:start="680" w:hanging="680"/>
      </w:pPr>
      <w:rPr/>
    </w:lvl>
    <w:lvl w:ilvl="2">
      <w:start w:val="1"/>
      <w:numFmt w:val="decimal"/>
      <w:lvlText w:val="%1.%2.%3"/>
      <w:lvlJc w:val="start"/>
      <w:pPr>
        <w:tabs>
          <w:tab w:val="num" w:pos="737"/>
        </w:tabs>
        <w:ind w:start="737" w:hanging="737"/>
      </w:pPr>
      <w:rPr/>
    </w:lvl>
    <w:lvl w:ilvl="3">
      <w:start w:val="1"/>
      <w:numFmt w:val="decimal"/>
      <w:lvlText w:val="%1.%2.%3.%4"/>
      <w:lvlJc w:val="start"/>
      <w:pPr>
        <w:tabs>
          <w:tab w:val="num" w:pos="794"/>
        </w:tabs>
        <w:ind w:start="794" w:hanging="794"/>
      </w:pPr>
      <w:rPr/>
    </w:lvl>
    <w:lvl w:ilvl="4">
      <w:start w:val="1"/>
      <w:numFmt w:val="decimal"/>
      <w:lvlText w:val="%1.%2.%3.%4.%5"/>
      <w:lvlJc w:val="start"/>
      <w:pPr>
        <w:tabs>
          <w:tab w:val="num" w:pos="1008"/>
        </w:tabs>
        <w:ind w:start="1008" w:hanging="1008"/>
      </w:pPr>
      <w:rPr/>
    </w:lvl>
    <w:lvl w:ilvl="5">
      <w:start w:val="1"/>
      <w:numFmt w:val="decimal"/>
      <w:lvlText w:val="%1.%2.%3.%4.%5.%6"/>
      <w:lvlJc w:val="start"/>
      <w:pPr>
        <w:tabs>
          <w:tab w:val="num" w:pos="1152"/>
        </w:tabs>
        <w:ind w:start="1152" w:hanging="1152"/>
      </w:pPr>
      <w:rPr/>
    </w:lvl>
    <w:lvl w:ilvl="6">
      <w:start w:val="1"/>
      <w:numFmt w:val="decimal"/>
      <w:lvlText w:val="%1.%2.%3.%4.%5.%6.%7"/>
      <w:lvlJc w:val="start"/>
      <w:pPr>
        <w:tabs>
          <w:tab w:val="num" w:pos="1296"/>
        </w:tabs>
        <w:ind w:start="1296" w:hanging="1296"/>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584"/>
        </w:tabs>
        <w:ind w:start="1584" w:hanging="1584"/>
      </w:pPr>
      <w:rPr/>
    </w:lvl>
  </w:abstractNum>
  <w:abstractNum w:abstractNumId="2">
    <w:lvl w:ilvl="0">
      <w:start w:val="1"/>
      <w:numFmt w:val="decimal"/>
      <w:lvlText w:val="%1"/>
      <w:lvlJc w:val="start"/>
      <w:pPr>
        <w:tabs>
          <w:tab w:val="num" w:pos="680"/>
        </w:tabs>
        <w:ind w:start="680" w:hanging="680"/>
      </w:pPr>
      <w:rPr/>
    </w:lvl>
    <w:lvl w:ilvl="1">
      <w:start w:val="1"/>
      <w:numFmt w:val="decimal"/>
      <w:lvlText w:val="%1.%2"/>
      <w:lvlJc w:val="start"/>
      <w:pPr>
        <w:tabs>
          <w:tab w:val="num" w:pos="680"/>
        </w:tabs>
        <w:ind w:start="680" w:hanging="680"/>
      </w:pPr>
      <w:rPr/>
    </w:lvl>
    <w:lvl w:ilvl="2">
      <w:start w:val="1"/>
      <w:numFmt w:val="decimal"/>
      <w:lvlText w:val="%1.%2.%3"/>
      <w:lvlJc w:val="start"/>
      <w:pPr>
        <w:tabs>
          <w:tab w:val="num" w:pos="737"/>
        </w:tabs>
        <w:ind w:start="737" w:hanging="737"/>
      </w:pPr>
      <w:rPr/>
    </w:lvl>
    <w:lvl w:ilvl="3">
      <w:start w:val="1"/>
      <w:numFmt w:val="decimal"/>
      <w:lvlText w:val="%1.%2.%3.%4"/>
      <w:lvlJc w:val="start"/>
      <w:pPr>
        <w:tabs>
          <w:tab w:val="num" w:pos="794"/>
        </w:tabs>
        <w:ind w:start="794" w:hanging="794"/>
      </w:pPr>
      <w:rPr/>
    </w:lvl>
    <w:lvl w:ilvl="4">
      <w:start w:val="1"/>
      <w:numFmt w:val="decimal"/>
      <w:lvlText w:val="%1.%2.%3.%4.%5"/>
      <w:lvlJc w:val="start"/>
      <w:pPr>
        <w:tabs>
          <w:tab w:val="num" w:pos="1008"/>
        </w:tabs>
        <w:ind w:start="1008" w:hanging="1008"/>
      </w:pPr>
      <w:rPr/>
    </w:lvl>
    <w:lvl w:ilvl="5">
      <w:start w:val="1"/>
      <w:numFmt w:val="decimal"/>
      <w:lvlText w:val="%1.%2.%3.%4.%5.%6"/>
      <w:lvlJc w:val="start"/>
      <w:pPr>
        <w:tabs>
          <w:tab w:val="num" w:pos="1152"/>
        </w:tabs>
        <w:ind w:start="1152" w:hanging="1152"/>
      </w:pPr>
      <w:rPr/>
    </w:lvl>
    <w:lvl w:ilvl="6">
      <w:start w:val="1"/>
      <w:numFmt w:val="decimal"/>
      <w:lvlText w:val="%1.%2.%3.%4.%5.%6.%7"/>
      <w:lvlJc w:val="start"/>
      <w:pPr>
        <w:tabs>
          <w:tab w:val="num" w:pos="1296"/>
        </w:tabs>
        <w:ind w:start="1296" w:hanging="1296"/>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584"/>
        </w:tabs>
        <w:ind w:start="1584" w:hanging="1584"/>
      </w:pPr>
      <w:rPr/>
    </w:lvl>
  </w:abstractNum>
  <w:abstractNum w:abstractNumId="3">
    <w:lvl w:ilvl="0">
      <w:start w:val="1"/>
      <w:numFmt w:val="bullet"/>
      <w:lvlText w:val=""/>
      <w:lvlJc w:val="start"/>
      <w:pPr>
        <w:tabs>
          <w:tab w:val="num" w:pos="720"/>
        </w:tabs>
        <w:ind w:start="720" w:hanging="360"/>
      </w:pPr>
      <w:rPr>
        <w:rFonts w:ascii="Symbol" w:hAnsi="Symbol" w:cs="Symbol" w:hint="default"/>
      </w:rPr>
    </w:lvl>
  </w:abstractNum>
  <w:abstractNum w:abstractNumId="4">
    <w:lvl w:ilvl="0">
      <w:start w:val="1"/>
      <w:numFmt w:val="bullet"/>
      <w:lvlText w:val=""/>
      <w:lvlJc w:val="start"/>
      <w:pPr>
        <w:tabs>
          <w:tab w:val="num" w:pos="360"/>
        </w:tabs>
        <w:ind w:start="360"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mirrorMargins/>
  <w:defaultTabStop w:val="720"/>
  <w:autoHyphenation w:val="true"/>
  <w:evenAndOddHeaders/>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sv-SE" w:eastAsia="zh-CN" w:bidi="hi-IN"/>
      </w:rPr>
    </w:rPrDefault>
    <w:pPrDefault>
      <w:pPr>
        <w:suppressAutoHyphens w:val="true"/>
      </w:pPr>
    </w:pPrDefault>
  </w:docDefaults>
  <w:style w:type="paragraph" w:styleId="Normal">
    <w:name w:val="Normal"/>
    <w:qFormat/>
    <w:pPr>
      <w:widowControl/>
      <w:suppressAutoHyphens w:val="false"/>
      <w:bidi w:val="0"/>
      <w:spacing w:lineRule="exact" w:line="260" w:before="120" w:after="0"/>
      <w:jc w:val="both"/>
    </w:pPr>
    <w:rPr>
      <w:rFonts w:ascii="Stone Serif" w:hAnsi="Stone Serif" w:eastAsia="Times" w:cs="Stone Serif"/>
      <w:color w:val="000000"/>
      <w:sz w:val="20"/>
      <w:szCs w:val="20"/>
      <w:lang w:val="sv-SE" w:bidi="ar-SA" w:eastAsia="zh-CN"/>
    </w:rPr>
  </w:style>
  <w:style w:type="paragraph" w:styleId="Heading1">
    <w:name w:val="Heading 1"/>
    <w:basedOn w:val="Normal"/>
    <w:next w:val="BodyText"/>
    <w:qFormat/>
    <w:pPr>
      <w:keepNext w:val="true"/>
      <w:keepLines/>
      <w:numPr>
        <w:ilvl w:val="0"/>
        <w:numId w:val="1"/>
      </w:numPr>
      <w:tabs>
        <w:tab w:val="clear" w:pos="720"/>
        <w:tab w:val="left" w:pos="680" w:leader="none"/>
      </w:tabs>
      <w:suppressAutoHyphens w:val="true"/>
      <w:spacing w:lineRule="exact" w:line="480" w:before="0" w:after="1680"/>
      <w:ind w:hanging="680" w:start="680" w:end="0"/>
      <w:jc w:val="start"/>
      <w:outlineLvl w:val="0"/>
    </w:pPr>
    <w:rPr>
      <w:rFonts w:ascii="Stone Sans" w:hAnsi="Stone Sans" w:cs="Stone Sans"/>
      <w:b/>
      <w:bCs/>
      <w:sz w:val="44"/>
      <w:szCs w:val="44"/>
    </w:rPr>
  </w:style>
  <w:style w:type="paragraph" w:styleId="Heading2">
    <w:name w:val="Heading 2"/>
    <w:basedOn w:val="Normal"/>
    <w:next w:val="BodyText"/>
    <w:qFormat/>
    <w:pPr>
      <w:keepNext w:val="true"/>
      <w:keepLines/>
      <w:suppressAutoHyphens w:val="true"/>
      <w:spacing w:lineRule="auto" w:line="240" w:before="600" w:after="0"/>
      <w:jc w:val="start"/>
      <w:outlineLvl w:val="1"/>
    </w:pPr>
    <w:rPr>
      <w:rFonts w:ascii="Stone Sans" w:hAnsi="Stone Sans" w:cs="Stone Sans"/>
      <w:b/>
      <w:bCs/>
      <w:sz w:val="32"/>
      <w:szCs w:val="32"/>
    </w:rPr>
  </w:style>
  <w:style w:type="paragraph" w:styleId="Heading3">
    <w:name w:val="Heading 3"/>
    <w:basedOn w:val="Normal"/>
    <w:next w:val="Normal"/>
    <w:qFormat/>
    <w:pPr>
      <w:keepNext w:val="true"/>
      <w:keepLines/>
      <w:suppressAutoHyphens w:val="true"/>
      <w:spacing w:before="360" w:after="0"/>
      <w:jc w:val="start"/>
      <w:outlineLvl w:val="2"/>
    </w:pPr>
    <w:rPr>
      <w:rFonts w:ascii="Stone Sans" w:hAnsi="Stone Sans" w:cs="Stone Sans"/>
      <w:b/>
      <w:bCs/>
      <w:sz w:val="26"/>
      <w:szCs w:val="26"/>
    </w:rPr>
  </w:style>
  <w:style w:type="paragraph" w:styleId="Heading4">
    <w:name w:val="Heading 4"/>
    <w:basedOn w:val="Normal"/>
    <w:next w:val="BodyText"/>
    <w:qFormat/>
    <w:pPr>
      <w:keepNext w:val="true"/>
      <w:keepLines/>
      <w:suppressAutoHyphens w:val="true"/>
      <w:spacing w:before="360" w:after="0"/>
      <w:outlineLvl w:val="3"/>
    </w:pPr>
    <w:rPr>
      <w:rFonts w:ascii="Stone Sans" w:hAnsi="Stone Sans" w:cs="Stone Sans"/>
      <w:b/>
      <w:bCs/>
    </w:rPr>
  </w:style>
  <w:style w:type="paragraph" w:styleId="Heading5">
    <w:name w:val="Heading 5"/>
    <w:basedOn w:val="Normal"/>
    <w:next w:val="BodyText"/>
    <w:qFormat/>
    <w:pPr>
      <w:spacing w:before="240" w:after="0"/>
      <w:outlineLvl w:val="4"/>
    </w:pPr>
    <w:rPr>
      <w:rFonts w:ascii="Stone Sans" w:hAnsi="Stone Sans" w:cs="Stone Sans"/>
      <w:b/>
      <w:bCs/>
      <w:i/>
      <w:iCs/>
    </w:rPr>
  </w:style>
  <w:style w:type="paragraph" w:styleId="Heading6">
    <w:name w:val="Heading 6"/>
    <w:basedOn w:val="Normal"/>
    <w:next w:val="Normal"/>
    <w:qFormat/>
    <w:pPr>
      <w:outlineLvl w:val="5"/>
    </w:pPr>
    <w:rPr/>
  </w:style>
  <w:style w:type="paragraph" w:styleId="Heading7">
    <w:name w:val="Heading 7"/>
    <w:basedOn w:val="Normal"/>
    <w:next w:val="Normal"/>
    <w:qFormat/>
    <w:pPr>
      <w:outlineLvl w:val="6"/>
    </w:pPr>
    <w:rPr/>
  </w:style>
  <w:style w:type="paragraph" w:styleId="Heading8">
    <w:name w:val="Heading 8"/>
    <w:basedOn w:val="Normal"/>
    <w:next w:val="Normal"/>
    <w:qFormat/>
    <w:pPr>
      <w:outlineLvl w:val="7"/>
    </w:pPr>
    <w:rPr/>
  </w:style>
  <w:style w:type="paragraph" w:styleId="Heading9">
    <w:name w:val="Heading 9"/>
    <w:basedOn w:val="Normal"/>
    <w:next w:val="Normal"/>
    <w:qFormat/>
    <w:pPr>
      <w:spacing w:before="360" w:after="80"/>
      <w:outlineLvl w:val="8"/>
    </w:pPr>
    <w:rPr>
      <w:rFonts w:ascii="Stone Sans" w:hAnsi="Stone Sans" w:cs="Stone Sans"/>
      <w:b/>
      <w:bCs/>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5z0">
    <w:name w:val="WW8Num15z0"/>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9z0">
    <w:name w:val="WW8Num19z0"/>
    <w:qFormat/>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style>
  <w:style w:type="character" w:styleId="WW8Num22z2">
    <w:name w:val="WW8Num22z2"/>
    <w:qFormat/>
    <w:rPr>
      <w:rFonts w:ascii="Wingdings" w:hAnsi="Wingdings" w:cs="Wingdings"/>
    </w:rPr>
  </w:style>
  <w:style w:type="character" w:styleId="WW8Num22z4">
    <w:name w:val="WW8Num22z4"/>
    <w:qFormat/>
    <w:rPr>
      <w:rFonts w:ascii="Courier New" w:hAnsi="Courier New" w:cs="Courier New"/>
    </w:rPr>
  </w:style>
  <w:style w:type="character" w:styleId="WW8Num23z0">
    <w:name w:val="WW8Num23z0"/>
    <w:qFormat/>
    <w:rPr>
      <w:color w:val="000000"/>
      <w:sz w:val="22"/>
      <w:szCs w:val="22"/>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style>
  <w:style w:type="character" w:styleId="WW8Num25z0">
    <w:name w:val="WW8Num25z0"/>
    <w:qFormat/>
    <w:rPr>
      <w:color w:val="000000"/>
      <w:sz w:val="22"/>
      <w:szCs w:val="22"/>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8z0">
    <w:name w:val="WW8Num28z0"/>
    <w:qFormat/>
    <w:rPr>
      <w:color w:val="000000"/>
      <w:sz w:val="22"/>
      <w:szCs w:val="22"/>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style>
  <w:style w:type="character" w:styleId="WW8Num32z0">
    <w:name w:val="WW8Num32z0"/>
    <w:qFormat/>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3z0">
    <w:name w:val="WW8Num43z0"/>
    <w:qFormat/>
    <w:rPr/>
  </w:style>
  <w:style w:type="character" w:styleId="WW8Num44z0">
    <w:name w:val="WW8Num44z0"/>
    <w:qFormat/>
    <w:rPr>
      <w:rFonts w:ascii="Symbol" w:hAnsi="Symbol" w:cs="Symbol"/>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St2z0">
    <w:name w:val="WW8NumSt2z0"/>
    <w:qFormat/>
    <w:rPr>
      <w:rFonts w:ascii="Stone Serif" w:hAnsi="Stone Serif" w:cs="Stone Serif"/>
    </w:rPr>
  </w:style>
  <w:style w:type="character" w:styleId="WW8NumSt43z0">
    <w:name w:val="WW8NumSt43z0"/>
    <w:qFormat/>
    <w:rPr>
      <w:rFonts w:ascii="Stone Serif" w:hAnsi="Stone Serif" w:cs="Stone Serif"/>
    </w:rPr>
  </w:style>
  <w:style w:type="character" w:styleId="DefaultParagraphFont">
    <w:name w:val="Default Paragraph Font"/>
    <w:qFormat/>
    <w:rPr/>
  </w:style>
  <w:style w:type="character" w:styleId="PageNumber">
    <w:name w:val="Page Number"/>
    <w:basedOn w:val="DefaultParagraphFont"/>
    <w:rPr>
      <w:rFonts w:ascii="Stone Serif" w:hAnsi="Stone Serif" w:cs="Stone Serif"/>
      <w:color w:val="000000"/>
      <w:sz w:val="20"/>
      <w:szCs w:val="20"/>
    </w:rPr>
  </w:style>
  <w:style w:type="character" w:styleId="Tnteckennedsnkt">
    <w:name w:val="Tn tecken nedsänkt"/>
    <w:qFormat/>
    <w:rPr>
      <w:vertAlign w:val="subscript"/>
    </w:rPr>
  </w:style>
  <w:style w:type="character" w:styleId="Tuteckenupphjd">
    <w:name w:val="Tu tecken upphöjd"/>
    <w:qFormat/>
    <w:rPr>
      <w:vertAlign w:val="superscript"/>
    </w:rPr>
  </w:style>
  <w:style w:type="character" w:styleId="FootnoteCharacters">
    <w:name w:val="Footnote Characters"/>
    <w:basedOn w:val="DefaultParagraphFont"/>
    <w:qFormat/>
    <w:rPr>
      <w:vertAlign w:val="superscript"/>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spacing w:lineRule="auto" w:line="240" w:before="0" w:after="0"/>
      <w:jc w:val="start"/>
    </w:pPr>
    <w:rPr>
      <w:rFonts w:ascii="Tahoma" w:hAnsi="Tahoma" w:eastAsia="Times New Roman" w:cs="Tahoma"/>
      <w:color w:val="000000"/>
      <w:sz w:val="16"/>
      <w:szCs w:val="16"/>
    </w:rPr>
  </w:style>
  <w:style w:type="paragraph" w:styleId="Tabelltext">
    <w:name w:val="Tabelltext"/>
    <w:basedOn w:val="Normal"/>
    <w:qFormat/>
    <w:pPr>
      <w:jc w:val="start"/>
    </w:pPr>
    <w:rPr>
      <w:rFonts w:ascii="Stone Sans" w:hAnsi="Stone Sans" w:cs="Stone Sans"/>
      <w:sz w:val="16"/>
      <w:szCs w:val="16"/>
    </w:rPr>
  </w:style>
  <w:style w:type="paragraph" w:styleId="BlrHalvblankrad">
    <w:name w:val="Blr Halv blankrad"/>
    <w:basedOn w:val="Normal"/>
    <w:qFormat/>
    <w:pPr>
      <w:spacing w:lineRule="exact" w:line="120" w:before="0" w:after="0"/>
    </w:pPr>
    <w:rPr>
      <w:sz w:val="12"/>
      <w:szCs w:val="12"/>
    </w:rPr>
  </w:style>
  <w:style w:type="paragraph" w:styleId="Citat">
    <w:name w:val="Citat"/>
    <w:basedOn w:val="Normal"/>
    <w:qFormat/>
    <w:pPr>
      <w:spacing w:lineRule="exact" w:line="220"/>
      <w:ind w:hanging="0" w:start="454" w:end="0"/>
    </w:pPr>
    <w:rPr>
      <w:sz w:val="17"/>
      <w:szCs w:val="17"/>
    </w:rPr>
  </w:style>
  <w:style w:type="paragraph" w:styleId="Fotnot">
    <w:name w:val="Fotnot"/>
    <w:basedOn w:val="Normal"/>
    <w:qFormat/>
    <w:pPr>
      <w:tabs>
        <w:tab w:val="clear" w:pos="720"/>
        <w:tab w:val="left" w:pos="340" w:leader="none"/>
      </w:tabs>
      <w:ind w:hanging="340" w:start="340" w:end="0"/>
    </w:pPr>
    <w:rPr>
      <w:sz w:val="17"/>
      <w:szCs w:val="17"/>
    </w:rPr>
  </w:style>
  <w:style w:type="paragraph" w:styleId="FigurtextoTabellrubrik">
    <w:name w:val="Figurtext o Tabellrubrik"/>
    <w:basedOn w:val="Normal"/>
    <w:qFormat/>
    <w:pPr>
      <w:jc w:val="start"/>
    </w:pPr>
    <w:rPr>
      <w:rFonts w:ascii="Stone Sans" w:hAnsi="Stone Sans" w:cs="Stone Sans"/>
      <w:i/>
      <w:iCs/>
      <w:sz w:val="18"/>
      <w:szCs w:val="18"/>
    </w:rPr>
  </w:style>
  <w:style w:type="paragraph" w:styleId="Textifigur">
    <w:name w:val="Text i figur"/>
    <w:basedOn w:val="Normal"/>
    <w:qFormat/>
    <w:pPr/>
    <w:rPr>
      <w:rFonts w:ascii="Stone Sans" w:hAnsi="Stone Sans" w:cs="Stone Sans"/>
      <w:sz w:val="16"/>
      <w:szCs w:val="16"/>
    </w:rPr>
  </w:style>
  <w:style w:type="paragraph" w:styleId="PlPunktlistaBrdtext1">
    <w:name w:val="Pl Punktlista Brödtext 1"/>
    <w:basedOn w:val="Normal"/>
    <w:qFormat/>
    <w:pPr>
      <w:numPr>
        <w:ilvl w:val="0"/>
        <w:numId w:val="3"/>
      </w:numPr>
      <w:tabs>
        <w:tab w:val="left" w:pos="227" w:leader="none"/>
        <w:tab w:val="left" w:pos="720" w:leader="none"/>
      </w:tabs>
      <w:ind w:hanging="227" w:start="227" w:end="0"/>
    </w:pPr>
    <w:rPr/>
  </w:style>
  <w:style w:type="paragraph" w:styleId="Kllkod">
    <w:name w:val="Källkod"/>
    <w:basedOn w:val="Normal"/>
    <w:qFormat/>
    <w:pPr>
      <w:suppressAutoHyphens w:val="true"/>
      <w:spacing w:lineRule="exact" w:line="200" w:before="0" w:after="0"/>
      <w:jc w:val="start"/>
    </w:pPr>
    <w:rPr>
      <w:rFonts w:ascii="Courier New" w:hAnsi="Courier New" w:cs="Courier New"/>
      <w:sz w:val="16"/>
      <w:szCs w:val="16"/>
    </w:rPr>
  </w:style>
  <w:style w:type="paragraph" w:styleId="Rn2Rubrik2Numrering">
    <w:name w:val="Rn2 Rubrik 2 Numrering"/>
    <w:basedOn w:val="Heading1"/>
    <w:next w:val="BodyText"/>
    <w:qFormat/>
    <w:pPr>
      <w:numPr>
        <w:ilvl w:val="0"/>
        <w:numId w:val="2"/>
      </w:numPr>
      <w:spacing w:lineRule="exact" w:line="360" w:before="600" w:after="0"/>
      <w:outlineLvl w:val="1"/>
    </w:pPr>
    <w:rPr>
      <w:sz w:val="32"/>
      <w:szCs w:val="32"/>
    </w:rPr>
  </w:style>
  <w:style w:type="paragraph" w:styleId="Rn3Rubrik3Numrering">
    <w:name w:val="Rn3 Rubrik 3 Numrering"/>
    <w:basedOn w:val="Normal"/>
    <w:next w:val="BodyText"/>
    <w:qFormat/>
    <w:pPr>
      <w:numPr>
        <w:ilvl w:val="0"/>
        <w:numId w:val="2"/>
      </w:numPr>
      <w:tabs>
        <w:tab w:val="clear" w:pos="720"/>
        <w:tab w:val="left" w:pos="737" w:leader="none"/>
      </w:tabs>
      <w:suppressAutoHyphens w:val="true"/>
      <w:spacing w:lineRule="exact" w:line="320" w:before="520" w:after="0"/>
      <w:ind w:hanging="737" w:start="737" w:end="0"/>
      <w:jc w:val="start"/>
      <w:outlineLvl w:val="2"/>
    </w:pPr>
    <w:rPr>
      <w:rFonts w:ascii="Stone Sans" w:hAnsi="Stone Sans" w:cs="Stone Sans"/>
      <w:b/>
      <w:bCs/>
      <w:sz w:val="26"/>
      <w:szCs w:val="26"/>
    </w:rPr>
  </w:style>
  <w:style w:type="paragraph" w:styleId="SfSidfot">
    <w:name w:val="Sf Sidfot"/>
    <w:basedOn w:val="Normal"/>
    <w:qFormat/>
    <w:pPr>
      <w:tabs>
        <w:tab w:val="clear" w:pos="720"/>
        <w:tab w:val="right" w:pos="6237" w:leader="none"/>
      </w:tabs>
    </w:pPr>
    <w:rPr>
      <w:sz w:val="14"/>
      <w:szCs w:val="14"/>
    </w:rPr>
  </w:style>
  <w:style w:type="paragraph" w:styleId="ShSidhuvud">
    <w:name w:val="Sh Sidhuvud"/>
    <w:basedOn w:val="Normal"/>
    <w:qFormat/>
    <w:pPr>
      <w:tabs>
        <w:tab w:val="clear" w:pos="720"/>
        <w:tab w:val="right" w:pos="6237" w:leader="none"/>
      </w:tabs>
    </w:pPr>
    <w:rPr>
      <w:rFonts w:ascii="Stone Sans" w:hAnsi="Stone Sans" w:cs="Stone Sans"/>
      <w:i/>
      <w:iCs/>
      <w:sz w:val="16"/>
      <w:szCs w:val="16"/>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536" w:leader="none"/>
        <w:tab w:val="right" w:pos="9072" w:leader="none"/>
      </w:tabs>
    </w:pPr>
    <w:rPr/>
  </w:style>
  <w:style w:type="paragraph" w:styleId="FootnoteText">
    <w:name w:val="Footnote Text"/>
    <w:basedOn w:val="Normal"/>
    <w:pPr/>
    <w:rPr/>
  </w:style>
  <w:style w:type="paragraph" w:styleId="FrameContents">
    <w:name w:val="Frame Contents"/>
    <w:basedOn w:val="Normal"/>
    <w:qFormat/>
    <w:pPr/>
    <w:rPr/>
  </w:style>
  <w:style w:type="paragraph" w:styleId="Header">
    <w:name w:val="Header"/>
    <w:basedOn w:val="HeaderandFooter"/>
    <w:pPr>
      <w:suppressLineNumbers/>
    </w:pPr>
    <w:rPr/>
  </w:style>
  <w:style w:type="paragraph" w:styleId="HeaderLeft">
    <w:name w:val="Header Left"/>
    <w:basedOn w:val="Header"/>
    <w:qFormat/>
    <w:pPr>
      <w:suppressLineNumbers/>
      <w:tabs>
        <w:tab w:val="clear" w:pos="4819"/>
        <w:tab w:val="clear" w:pos="9638"/>
        <w:tab w:val="center" w:pos="3118" w:leader="none"/>
        <w:tab w:val="right" w:pos="6236"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Normal.dot_x0000_</Template>
  <TotalTime>144</TotalTime>
  <Application>LibreOffice/7.6.7.2$Linux_X86_64 LibreOffice_project/60$Build-2</Application>
  <AppVersion>15.0000</AppVersion>
  <Pages>4</Pages>
  <Words>837</Words>
  <Characters>4924</Characters>
  <CharactersWithSpaces>5704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2006-06-28T15:41:00Z</dcterms:created>
  <dc:creator>Björn Regnell</dc:creator>
  <dc:description>Vid frågor kontakta er redaktörvxl 046-31 20 0</dc:description>
  <cp:keywords/>
  <dc:language>sv-SE</dc:language>
  <cp:lastModifiedBy>martinh</cp:lastModifiedBy>
  <cp:lastPrinted>2006-09-07T13:38:00Z</cp:lastPrinted>
  <dcterms:modified xsi:type="dcterms:W3CDTF">2006-10-31T18:32:00Z</dcterms:modified>
  <cp:revision>16</cp:revision>
  <dc:subject/>
  <dc:title>Litteraturstudier</dc:title>
</cp:coreProperties>
</file>