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Saltcoats Victoria FC – Sponsor Engagement Pack</w:t>
      </w:r>
    </w:p>
    <w:p>
      <w:r>
        <w:t>This pack explains how SVFC OS benefits sponsors and maximises their visibility.</w:t>
      </w:r>
    </w:p>
    <w:p>
      <w:pPr>
        <w:pStyle w:val="Heading1"/>
      </w:pPr>
      <w:r>
        <w:t>Sponsor Benefits</w:t>
      </w:r>
    </w:p>
    <w:p>
      <w:r>
        <w:t>• Digital exposure on website, portal, and matchday content.</w:t>
      </w:r>
    </w:p>
    <w:p>
      <w:r>
        <w:t>• Real-time analytics: impressions, click-throughs, fan engagement.</w:t>
      </w:r>
    </w:p>
    <w:p>
      <w:r>
        <w:t>• Renewal reminders and ROI reporting.</w:t>
      </w:r>
    </w:p>
    <w:p>
      <w:r>
        <w:t>• Integration with social media shoutouts.</w:t>
      </w:r>
    </w:p>
    <w:p>
      <w:pPr>
        <w:pStyle w:val="Heading1"/>
      </w:pPr>
      <w:r>
        <w:t>Opportunities</w:t>
      </w:r>
    </w:p>
    <w:p>
      <w:r>
        <w:t>• Player sponsorships (home/away shirts).</w:t>
      </w:r>
    </w:p>
    <w:p>
      <w:r>
        <w:t>• Matchday sponsorships (ball, programme, full match).</w:t>
      </w:r>
    </w:p>
    <w:p>
      <w:r>
        <w:t>• Advertising boards around the ground.</w:t>
      </w:r>
    </w:p>
    <w:p>
      <w:r>
        <w:t>• Digital sponsorships (social takeovers, web banners).</w:t>
      </w:r>
    </w:p>
    <w:p>
      <w:pPr>
        <w:pStyle w:val="Heading1"/>
      </w:pPr>
      <w:r>
        <w:t>Why SVFC OS Helps Sponsors</w:t>
      </w:r>
    </w:p>
    <w:p>
      <w:r>
        <w:t>The OS ensures sponsor visibility is maximised and reported with clear ROI metrics.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