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color w:val="1F3864"/>
          <w:sz w:val="40"/>
          <w:szCs w:val="40"/>
        </w:rPr>
        <w:t xml:space="preserve">NIDS 상담 준비 자료</w:t>
      </w:r>
    </w:p>
    <w:p>
      <w:pPr>
        <w:spacing w:after="80"/>
        <w:jc w:val="center"/>
      </w:pPr>
      <w:r>
        <w:rPr>
          <w:sz w:val="22"/>
          <w:szCs w:val="22"/>
        </w:rPr>
        <w:t xml:space="preserve">골든브레인케어 — AI 멀티모달 기반 언어재활 디지털의료기기소프트웨어</w:t>
      </w:r>
    </w:p>
    <w:p>
      <w:pPr>
        <w:spacing w:after="80"/>
        <w:jc w:val="center"/>
      </w:pPr>
      <w:r>
        <w:rPr>
          <w:sz w:val="22"/>
          <w:szCs w:val="22"/>
        </w:rPr>
        <w:t xml:space="preserve">상담 일자: 2026년 5월 7일</w:t>
      </w:r>
    </w:p>
    <w:p>
      <w:pPr>
        <w:spacing w:after="360"/>
        <w:jc w:val="center"/>
      </w:pPr>
      <w:r>
        <w:rPr>
          <w:sz w:val="22"/>
          <w:szCs w:val="22"/>
        </w:rPr>
        <w:t xml:space="preserve">상담 기관: 한국의료기기안전정보원(NIDS)</w:t>
      </w:r>
    </w:p>
    <w:p>
      <w:pPr>
        <w:pStyle w:val="Heading1"/>
        <w:spacing w:after="160" w:before="280"/>
      </w:pPr>
      <w:r>
        <w:rPr>
          <w:b/>
          <w:bCs/>
        </w:rPr>
        <w:t xml:space="preserve">1. NIDS 상담에서 확정되어야 다음 단계가 정해지는 것들</w:t>
      </w:r>
    </w:p>
    <w:p>
      <w:pPr>
        <w:spacing w:after="120"/>
      </w:pPr>
      <w:r>
        <w:t xml:space="preserve">NIDS 상담은 앞으로 6~12개월 작업의 청사진을 받는 자리다. 아래 5가지가 확정되어야 시험·문서·임상시험·GMP 일정과 예산이 결정된다.</w:t>
      </w:r>
    </w:p>
    <w:p>
      <w:pPr>
        <w:pStyle w:val="Heading2"/>
        <w:spacing w:after="120" w:before="200"/>
      </w:pPr>
      <w:r>
        <w:rPr>
          <w:b/>
          <w:bCs/>
        </w:rPr>
        <w:t xml:space="preserve">1-1. 분류 · 등급 확정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디지털의료제품 vs 일반 의료기기 → 적용 법령 · 가이드라인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2등급 vs 3등급 → IEC 62304 SW 안전등급(B vs C)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등급에 따라 시험 항목 · 강도 · GMP 요구 수준 다름</w:t>
      </w:r>
    </w:p>
    <w:p>
      <w:pPr>
        <w:spacing w:after="120"/>
      </w:pPr>
      <w:r>
        <w:rPr>
          <w:i/>
          <w:iCs/>
          <w:color w:val="595959"/>
        </w:rPr>
        <w:t xml:space="preserve">→ 확정 안 되면 어떤 시험을 받을지, 어떤 문서를 만들지 결정 불가.</w:t>
      </w:r>
    </w:p>
    <w:p>
      <w:pPr>
        <w:pStyle w:val="Heading2"/>
        <w:spacing w:after="120" w:before="200"/>
      </w:pPr>
      <w:r>
        <w:rPr>
          <w:b/>
          <w:bCs/>
        </w:rPr>
        <w:t xml:space="preserve">1-2. 사용목적 문구 인정 여부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우리 신청서 사용목적 문구가 그대로 인정되는지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"보조 SaMD" 인정 → 임상자료 검토로 가능 / "치료 claim" → 임상시험 필수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결정에 따라 임상시험 일정 · 예산 6개월~1년 차이</w:t>
      </w:r>
    </w:p>
    <w:p>
      <w:pPr>
        <w:spacing w:after="120"/>
      </w:pPr>
      <w:r>
        <w:rPr>
          <w:i/>
          <w:iCs/>
          <w:color w:val="595959"/>
        </w:rPr>
        <w:t xml:space="preserve">→ 사용목적 문구는 인허가 트랙 결정의 핵심. 수정 필요 여부 확인 필수.</w:t>
      </w:r>
    </w:p>
    <w:p>
      <w:pPr>
        <w:pStyle w:val="Heading2"/>
        <w:spacing w:after="120" w:before="200"/>
      </w:pPr>
      <w:r>
        <w:rPr>
          <w:b/>
          <w:bCs/>
        </w:rPr>
        <w:t xml:space="preserve">1-3. 임상 근거 요구 수준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단일군 파일럿 n=50 데이터로 인허가 신청 가능한지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진행 중 다기관 RCT 결과를 인허가 시점에 안 가져와도 되는지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RCT 필수면 다기관 IRB 일정 즉시 시작 필요</w:t>
      </w:r>
    </w:p>
    <w:p>
      <w:pPr>
        <w:spacing w:after="120"/>
      </w:pPr>
      <w:r>
        <w:rPr>
          <w:i/>
          <w:iCs/>
          <w:color w:val="595959"/>
        </w:rPr>
        <w:t xml:space="preserve">→ 임상시험 필요 여부에 따라 일정 · 예산 가장 크게 변동.</w:t>
      </w:r>
    </w:p>
    <w:p>
      <w:pPr>
        <w:pStyle w:val="Heading2"/>
        <w:spacing w:after="120" w:before="200"/>
      </w:pPr>
      <w:r>
        <w:rPr>
          <w:b/>
          <w:bCs/>
        </w:rPr>
        <w:t xml:space="preserve">1-4. 시험성적서 종류 · 범위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2등급에 필수 공인성적서 정확한 목록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KTL 견적 4종(SW V&amp;V · 사이버보안 국내 · AI 성능 · 사용적합성)으로 충분한지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본질적 성능 시험성적서 별도 필요 여부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KTL이 디지털의료제품 시험기관 지정 받았는지</w:t>
      </w:r>
    </w:p>
    <w:p>
      <w:pPr>
        <w:spacing w:after="120"/>
      </w:pPr>
      <w:r>
        <w:rPr>
          <w:i/>
          <w:iCs/>
          <w:color w:val="595959"/>
        </w:rPr>
        <w:t xml:space="preserve">→ 잘못된 분류로 시험 받으면 재시험 필요. 비용 2,000만원+ 낭비 위험.</w:t>
      </w:r>
    </w:p>
    <w:p>
      <w:pPr>
        <w:pStyle w:val="Heading2"/>
        <w:spacing w:after="120" w:before="200"/>
      </w:pPr>
      <w:r>
        <w:rPr>
          <w:b/>
          <w:bCs/>
        </w:rPr>
        <w:t xml:space="preserve">1-5. GMP 시점 · 범위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GMP 획득 시점 — 인허가 신청 전 / 후 / 동시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외주(CMO) GMP 활용 가능 여부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 13485 구축 단계와 인허가 신청 일정의 정합성</w:t>
      </w:r>
    </w:p>
    <w:p>
      <w:pPr>
        <w:spacing w:after="120"/>
      </w:pPr>
      <w:r>
        <w:rPr>
          <w:i/>
          <w:iCs/>
          <w:color w:val="595959"/>
        </w:rPr>
        <w:t xml:space="preserve">→ 회사 규모(2명, 설립 1년 미만)에서 자체 GMP 구축 어려움. CMO 활용 결정 필요.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</w:rPr>
        <w:t xml:space="preserve">2. 상담에서 질문해야 할 부분</w:t>
      </w:r>
    </w:p>
    <w:p>
      <w:pPr>
        <w:spacing w:after="120"/>
      </w:pPr>
      <w:r>
        <w:t xml:space="preserve">30분 상담 가정. 우선순위 핵심 질문 + 시간 남으면 보충 + 정식 사전질의서 신청까지 받아내는 흐름.</w:t>
      </w:r>
    </w:p>
    <w:p>
      <w:pPr>
        <w:pStyle w:val="Heading2"/>
        <w:spacing w:after="120" w:before="200"/>
      </w:pPr>
      <w:r>
        <w:rPr>
          <w:b/>
          <w:bCs/>
        </w:rPr>
        <w:t xml:space="preserve">A. 분류 · 등급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우리 사용목적 문구 그대로 "2등급 / 독립형 디지털의료기기소프트웨어 / 언어재활 목적 소프트웨어" 분류 맞나요? (KTL은 디지털의료제품 분류 예상)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제품명에 "디지털치료기기"와 인허가 표현 "보조 SaMD"가 섞여 있는데 통일이 필요한가요?</w:t>
      </w:r>
    </w:p>
    <w:p>
      <w:pPr>
        <w:pStyle w:val="Heading2"/>
        <w:spacing w:after="120" w:before="200"/>
      </w:pPr>
      <w:r>
        <w:rPr>
          <w:b/>
          <w:bCs/>
        </w:rPr>
        <w:t xml:space="preserve">B. K-WAB 자동채점 관련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K-WAB 자동채점이 별도 평가용 SW로 분류되어 등급 상향(2→3) 요인이 되나요?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"훈련 + 평가" 두 기능이 한 제품에 통합된 경우 분류는 어떻게 되나요?</w:t>
      </w:r>
    </w:p>
    <w:p>
      <w:pPr>
        <w:pStyle w:val="Heading2"/>
        <w:spacing w:after="120" w:before="200"/>
      </w:pPr>
      <w:r>
        <w:rPr>
          <w:b/>
          <w:bCs/>
        </w:rPr>
        <w:t xml:space="preserve">C. 사용목적 vs 적응증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사용목적 "언어기능 저하"가 적응증의 MCI(인지 저하)까지 커버 가능한가요?</w:t>
      </w:r>
    </w:p>
    <w:p>
      <w:pPr>
        <w:pStyle w:val="Heading2"/>
        <w:spacing w:after="120" w:before="200"/>
      </w:pPr>
      <w:r>
        <w:rPr>
          <w:b/>
          <w:bCs/>
        </w:rPr>
        <w:t xml:space="preserve">D. 임상 근거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단일군 파일럿(n=50, K-WAB +14점, Cohen's dz 3.33) + 진행 중 다기관 RCT 계획서로 인허가 신청 가능한가요? 아니면 RCT 완료 후 신청해야 하나요?</w:t>
      </w:r>
    </w:p>
    <w:p>
      <w:pPr>
        <w:pStyle w:val="Heading2"/>
        <w:spacing w:after="120" w:before="200"/>
      </w:pPr>
      <w:r>
        <w:rPr>
          <w:b/>
          <w:bCs/>
        </w:rPr>
        <w:t xml:space="preserve">E. 시험성적서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2등급 인허가에 필수 공인시험성적서 정확한 목록은?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KTL 견적 4종(SW V&amp;V · 사이버보안 국내 · AI 성능 · 사용적합성)으로 충분한가요? 본질적 성능 시험성적서 별도 필요한가요?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KTL이 디지털의료제품 시험기관 지정도 받았나요? KTL 시험성적서가 그대로 인정되나요?</w:t>
      </w:r>
    </w:p>
    <w:p>
      <w:pPr>
        <w:pStyle w:val="Heading2"/>
        <w:spacing w:after="120" w:before="200"/>
      </w:pPr>
      <w:r>
        <w:rPr>
          <w:b/>
          <w:bCs/>
        </w:rPr>
        <w:t xml:space="preserve">F. 데이터 · 보안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음성·안면 데이터 처리·저장 위치(온디바이스 vs 서버) 명확화가 필수인가요? 데이터 흐름도 별도 양식이 있나요?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음성·안면 데이터가 생체정보로 분류되어 추가 보호 요건이 있나요?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소아 환자(F80.1·F80.2) 포함 시 추가 절차가 있나요?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사이버보안 — 식약처 의료기기 가이드 vs 디지털의료제품 별도 가이드 어느 것 적용되나요?</w:t>
      </w:r>
    </w:p>
    <w:p>
      <w:pPr>
        <w:pStyle w:val="Heading2"/>
        <w:spacing w:after="120" w:before="200"/>
      </w:pPr>
      <w:r>
        <w:rPr>
          <w:b/>
          <w:bCs/>
        </w:rPr>
        <w:t xml:space="preserve">G. GMP · 품질시스템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GMP 획득 vs 시험성적서 vs 인허가 신청 어느 순서가 맞나요?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외주(CMO) GMP 활용 가능한가요? 회사 규모(2명, 설립 1년 미만)에서 자체 GMP 구축 어려움.</w:t>
      </w:r>
    </w:p>
    <w:p>
      <w:pPr>
        <w:pStyle w:val="Heading2"/>
        <w:spacing w:after="120" w:before="200"/>
      </w:pPr>
      <w:r>
        <w:rPr>
          <w:b/>
          <w:bCs/>
        </w:rPr>
        <w:t xml:space="preserve">H. AI 모델 변경 관리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모델 재학습·정기 업데이트 시 매번 변경 허가가 필요한가요? 사전 승인된 변경 계획으로 묶어 처리하는 제도가 한국에 있나요?</w:t>
      </w:r>
    </w:p>
    <w:p>
      <w:pPr>
        <w:pStyle w:val="Heading2"/>
        <w:spacing w:after="120" w:before="200"/>
      </w:pPr>
      <w:r>
        <w:rPr>
          <w:b/>
          <w:bCs/>
        </w:rPr>
        <w:t xml:space="preserve">I. 임상 데이터 · 협력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MOU 협력 병원에서 시판 후 수집되는 실세계 데이터(RWD)를 임상 근거로 활용 가능한가요?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「혁신의료기기 안전관리 전주기 기술지원」 진행 중인데 혁신의료기기 지정 신청도 별도 가능한가요? 지정되면 인허가 절차에 변화가 있나요?</w:t>
      </w:r>
    </w:p>
    <w:p>
      <w:pPr>
        <w:pStyle w:val="Heading2"/>
        <w:spacing w:after="120" w:before="200"/>
      </w:pPr>
      <w:r>
        <w:rPr>
          <w:b/>
          <w:bCs/>
        </w:rPr>
        <w:t xml:space="preserve">J. 절차 · 일정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신청 → 발급 예상 기간과 수수료는?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SW 업데이트 시 변경 신고 vs 변경 허가 기준은?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정식 품목 사전질의서 양식 제공 가능한가요? (서면 답변 받기 위해)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오늘 통화 담당자 이름·연락처와 추후 추가 질문 시 연락 라인은?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</w:rPr>
        <w:t xml:space="preserve">3. 상담 전 준비물</w:t>
      </w:r>
    </w:p>
    <w:p>
      <w:pPr>
        <w:spacing w:after="120"/>
      </w:pPr>
      <w:r>
        <w:t xml:space="preserve">전화 받기 전에 손에 쥐고 있어야 할 자료: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사용목적 문구 (정확히)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의사소통장애 또는 언어기능 저하 환자 대상으로, 음성·안면 기반 분석을 통해 맞춤형 언어재활 훈련을 제공하고 훈련 경과를 정량적으로 평가·모니터링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파일럿 데이터 요약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n=50 / 8주 / K-WAB AQ +14점 / Cohen's dz 3.33 / 95% CI [12.81, 15.19] / 부작용 0건 / 만족도 8.7/10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기능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Whisper-ko fine-tuning (WER 15% 목표), MediaPipe 478점 안면, 반응시간 100ms 측정, K-WAB 4개 항목 자동채점, WASM 온디바이스 추론(P95 41.5ms)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단계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TRL 4 (실험실 환경 검증), 베타 사내 개발 완료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MOU 협력 병원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양산부산대 / 동아대 / 경상국립대 / 동래구재가복지센터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KTL 견적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 V&amp;V 300만 / 사이버보안 국내 1,500만 / AI 성능 200만+ / 사용적합성 70만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4. 상담 중 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녹음 동의 받기: '기록 정확성을 위해 녹음해도 될까요?' 먼저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공식 답변 vs 의견 구분: '이건 공식 분류 의견인가요, 실무 의견인가요?' 명확히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담당자 이름·연락처 받기: 추후 추가 질문 시 같은 라인 활용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정식 사전질의서 양식 요청: 서면 답변이 추후 인허가 시 근거 자료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결정형 질문 어렵다고 하면: "어떤 자료를 준비해서 정식 질의 넣으면 답변 가능한가요?" 로 전환</w:t>
      </w:r>
    </w:p>
    <w:p>
      <w:pPr>
        <w:pStyle w:val="Heading1"/>
        <w:spacing w:after="160" w:before="280"/>
      </w:pPr>
      <w:r>
        <w:rPr>
          <w:b/>
          <w:bCs/>
        </w:rPr>
        <w:t xml:space="preserve">5. 상담 후 액션 체크리스트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받은 답변 정리 (녹음 듣고 메모 작성)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공식 답변 vs 실무 의견 구분 표시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정식 품목 사전질의서 양식 받았으면 다음 주 내 작성·제출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확정된 분류·등급 기준으로 KTL에 시험 일정·견적 재확인 메일 발송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확정된 임상 근거 요건 기준으로 다기관 RCT IRB 일정 결정 (즉시 시작 vs 인허가 후)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확정된 GMP 시점 기준으로 외주(CMO) 후보 컨택 또는 자체 구축 일정 수립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2026-04-28T09:49:38.782Z</dcterms:created>
  <dcterms:modified xsi:type="dcterms:W3CDTF">2026-04-28T09:49:38.783Z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