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Быкасов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</w:t>
      </w:r>
      <w:r>
        <w:t xml:space="preserve"> </w:t>
      </w:r>
      <w:r>
        <w:rPr>
          <w:bCs/>
          <w:b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mkdir</w:t>
      </w:r>
      <w:r>
        <w:t xml:space="preserve">, затем перехожу в него, используя команду</w:t>
      </w:r>
      <w:r>
        <w:t xml:space="preserve"> </w:t>
      </w:r>
      <w:r>
        <w:rPr>
          <w:bCs/>
          <w:b/>
        </w:rPr>
        <w:t xml:space="preserve">cd</w:t>
      </w:r>
      <w:r>
        <w:t xml:space="preserve">. После этого создаю файл</w:t>
      </w:r>
      <w:r>
        <w:t xml:space="preserve"> </w:t>
      </w:r>
      <w:r>
        <w:rPr>
          <w:bCs/>
          <w:b/>
        </w:rPr>
        <w:t xml:space="preserve">hello.asm</w:t>
      </w:r>
      <w:r>
        <w:t xml:space="preserve">. На рис. 1 показан процесс создания каталога и файла.</w:t>
      </w:r>
    </w:p>
    <w:p>
      <w:pPr>
        <w:pStyle w:val="CaptionedFigure"/>
      </w:pPr>
      <w:bookmarkStart w:id="24" w:name="fig:001"/>
      <w:r>
        <w:drawing>
          <wp:inline>
            <wp:extent cx="5334000" cy="130451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 текстовом редакторе и пишу код программы по заданию, как показано на рис. 2.</w:t>
      </w:r>
    </w:p>
    <w:p>
      <w:pPr>
        <w:pStyle w:val="CaptionedFigure"/>
      </w:pPr>
      <w:bookmarkStart w:id="28" w:name="fig:002"/>
      <w:r>
        <w:drawing>
          <wp:inline>
            <wp:extent cx="5334000" cy="3455727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Чтобы скомпилировать файл, использую транслятор NASM. С помощью команды</w:t>
      </w:r>
      <w:r>
        <w:t xml:space="preserve"> </w:t>
      </w:r>
      <w:r>
        <w:rPr>
          <w:bCs/>
          <w:b/>
        </w:rPr>
        <w:t xml:space="preserve">nasm</w:t>
      </w:r>
      <w:r>
        <w:t xml:space="preserve"> </w:t>
      </w:r>
      <w:r>
        <w:t xml:space="preserve">создаю объектный файл</w:t>
      </w:r>
      <w:r>
        <w:t xml:space="preserve"> </w:t>
      </w:r>
      <w:r>
        <w:rPr>
          <w:bCs/>
          <w:b/>
        </w:rPr>
        <w:t xml:space="preserve">hello.o</w:t>
      </w:r>
      <w:r>
        <w:t xml:space="preserve">, что показано на рис. 3.</w:t>
      </w:r>
    </w:p>
    <w:p>
      <w:pPr>
        <w:pStyle w:val="CaptionedFigure"/>
      </w:pPr>
      <w:bookmarkStart w:id="33" w:name="fig:003"/>
      <w:r>
        <w:drawing>
          <wp:inline>
            <wp:extent cx="5334000" cy="782319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использую команду</w:t>
      </w:r>
      <w:r>
        <w:t xml:space="preserve"> </w:t>
      </w:r>
      <w:r>
        <w:rPr>
          <w:bCs/>
          <w:b/>
        </w:rPr>
        <w:t xml:space="preserve">nasm</w:t>
      </w:r>
      <w:r>
        <w:t xml:space="preserve"> </w:t>
      </w:r>
      <w:r>
        <w:t xml:space="preserve">с дополнительными опциями, которые позволяют создать листинг (</w:t>
      </w:r>
      <w:r>
        <w:rPr>
          <w:bCs/>
          <w:b/>
        </w:rPr>
        <w:t xml:space="preserve">list.lst</w:t>
      </w:r>
      <w:r>
        <w:t xml:space="preserve">), объектный файл (</w:t>
      </w:r>
      <w:r>
        <w:rPr>
          <w:bCs/>
          <w:b/>
        </w:rPr>
        <w:t xml:space="preserve">obj.o</w:t>
      </w:r>
      <w:r>
        <w:t xml:space="preserve">), а также добавить отладочную информацию. Результат показан на рис. 4.</w:t>
      </w:r>
    </w:p>
    <w:p>
      <w:pPr>
        <w:pStyle w:val="CaptionedFigure"/>
      </w:pPr>
      <w:bookmarkStart w:id="37" w:name="fig:004"/>
      <w:r>
        <w:drawing>
          <wp:inline>
            <wp:extent cx="5334000" cy="855179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</w:t>
      </w:r>
      <w:r>
        <w:t xml:space="preserve"> </w:t>
      </w:r>
      <w:r>
        <w:rPr>
          <w:bCs/>
          <w:b/>
        </w:rPr>
        <w:t xml:space="preserve">hello.o</w:t>
      </w:r>
      <w:r>
        <w:t xml:space="preserve">, используя компоновщик</w:t>
      </w:r>
      <w:r>
        <w:t xml:space="preserve"> </w:t>
      </w:r>
      <w:r>
        <w:rPr>
          <w:bCs/>
          <w:b/>
        </w:rPr>
        <w:t xml:space="preserve">ld</w:t>
      </w:r>
      <w:r>
        <w:t xml:space="preserve">. Это позволяет создать исполняемый файл, как показано на рис. 5.</w:t>
      </w:r>
    </w:p>
    <w:p>
      <w:pPr>
        <w:pStyle w:val="CaptionedFigure"/>
      </w:pPr>
      <w:bookmarkStart w:id="42" w:name="fig:005"/>
      <w:r>
        <w:drawing>
          <wp:inline>
            <wp:extent cx="5334000" cy="738553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</w:t>
      </w:r>
      <w:r>
        <w:t xml:space="preserve"> </w:t>
      </w:r>
      <w:r>
        <w:rPr>
          <w:bCs/>
          <w:b/>
        </w:rPr>
        <w:t xml:space="preserve">obj.o</w:t>
      </w:r>
      <w:r>
        <w:t xml:space="preserve">, в результате чего получаю исполняемый файл с именем</w:t>
      </w:r>
      <w:r>
        <w:t xml:space="preserve"> </w:t>
      </w:r>
      <w:r>
        <w:rPr>
          <w:bCs/>
          <w:b/>
        </w:rPr>
        <w:t xml:space="preserve">main</w:t>
      </w:r>
      <w:r>
        <w:t xml:space="preserve">. Результат показан на рис. 6.</w:t>
      </w:r>
    </w:p>
    <w:p>
      <w:pPr>
        <w:pStyle w:val="CaptionedFigure"/>
      </w:pPr>
      <w:bookmarkStart w:id="46" w:name="fig:006"/>
      <w:r>
        <w:drawing>
          <wp:inline>
            <wp:extent cx="5334000" cy="693201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bookmarkStart w:id="50" w:name="fig:007"/>
      <w:r>
        <w:drawing>
          <wp:inline>
            <wp:extent cx="5334000" cy="1105921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bookmarkStart w:id="55" w:name="fig:008"/>
      <w:r>
        <w:drawing>
          <wp:inline>
            <wp:extent cx="5334000" cy="3615905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1115559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Start w:id="61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ознакомился с основными этапами работы с программами на ассемблере с использованием NASM. Были освоены такие важные шаги, как создание объектных файлов, компиляция кода, использование компоновщика LD, а также работа с отладочной информацией и запуск готовых программ.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Быкасов Владислав Дмитриевич НБИбд-01-24</dc:creator>
  <dc:language>ru-RU</dc:language>
  <cp:keywords/>
  <dcterms:created xsi:type="dcterms:W3CDTF">2024-10-30T10:36:06Z</dcterms:created>
  <dcterms:modified xsi:type="dcterms:W3CDTF">2024-10-30T10:36:06Z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