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6375E8F8"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proofErr w:type="spellStart"/>
      <w:r>
        <w:t>Mens</w:t>
      </w:r>
      <w:proofErr w:type="spellEnd"/>
      <w:r>
        <w:t xml:space="preserve"> Rea: meaning the “guilty mind” and means when you have the intent in committing an offence.</w:t>
      </w:r>
    </w:p>
    <w:p w14:paraId="12EA00F0" w14:textId="77777777" w:rsidR="002F1B42" w:rsidRDefault="002F1B42" w:rsidP="002F1B42">
      <w:r>
        <w:t xml:space="preserve">Types of </w:t>
      </w:r>
      <w:proofErr w:type="spellStart"/>
      <w:r>
        <w:t>Mens</w:t>
      </w:r>
      <w:proofErr w:type="spellEnd"/>
      <w:r>
        <w:t xml:space="preserve">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1839358A"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w:t>
      </w:r>
      <w:r w:rsidRPr="00DE660E">
        <w:lastRenderedPageBreak/>
        <w:t>there is a serious breach of a duty of care, and constructive manslaughter, which occurs 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 xml:space="preserve">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w:t>
      </w:r>
      <w:proofErr w:type="gramStart"/>
      <w:r w:rsidRPr="00DE660E">
        <w:t>the majority of</w:t>
      </w:r>
      <w:proofErr w:type="gramEnd"/>
      <w:r w:rsidRPr="00DE660E">
        <w:t xml:space="preserve">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w:t>
      </w:r>
      <w:proofErr w:type="gramStart"/>
      <w:r w:rsidR="00A90D71">
        <w:t>example</w:t>
      </w:r>
      <w:proofErr w:type="gramEnd"/>
      <w:r w:rsidR="00A90D71">
        <w:t xml:space="preserve"> </w:t>
      </w:r>
      <w:r w:rsidR="00A90D71" w:rsidRPr="00A90D71">
        <w:t>When a landlord ignores a gas leak in a flat, a tenant is killed in an explosion.</w:t>
      </w:r>
    </w:p>
    <w:p w14:paraId="4D3564D5" w14:textId="6216B4ED" w:rsidR="002F1B42" w:rsidRPr="001E2463" w:rsidRDefault="002F1B42" w:rsidP="002F1B42">
      <w:r>
        <w:t xml:space="preserve">Murder: </w:t>
      </w:r>
      <w:r w:rsidRPr="00DE660E">
        <w:t xml:space="preserve">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w:t>
      </w:r>
      <w:proofErr w:type="gramStart"/>
      <w:r w:rsidRPr="00DE660E">
        <w:t>particular issues</w:t>
      </w:r>
      <w:proofErr w:type="gramEnd"/>
      <w:r w:rsidRPr="00DE660E">
        <w:t xml:space="preserve">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lastRenderedPageBreak/>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38D9D752"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proofErr w:type="gramStart"/>
      <w:r w:rsidR="004638FC" w:rsidRPr="00CB760A">
        <w:t>For</w:t>
      </w:r>
      <w:proofErr w:type="gramEnd"/>
      <w:r w:rsidR="004638FC" w:rsidRPr="00CB760A">
        <w:t xml:space="preserve"> instance, breaking through a window to take gadgets from a house.</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2B5E5C2C" w14:textId="69A666F3" w:rsidR="004638FC" w:rsidRPr="004638FC" w:rsidRDefault="002D27F3" w:rsidP="004638FC">
      <w:r w:rsidRPr="002D27F3">
        <w:lastRenderedPageBreak/>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49C611D4" w14:textId="5E02C1CC" w:rsidR="00CB760A" w:rsidRPr="00CB760A" w:rsidRDefault="00CB760A" w:rsidP="00CB760A"/>
    <w:p w14:paraId="3A63655D" w14:textId="4EA6DA2A" w:rsidR="002D27F3" w:rsidRPr="002D27F3" w:rsidRDefault="002D27F3" w:rsidP="63A4FA1B"/>
    <w:p w14:paraId="78C2FEA4" w14:textId="50144426" w:rsidR="0B24CD1C" w:rsidRDefault="0B24CD1C" w:rsidP="63A4FA1B">
      <w:pPr>
        <w:rPr>
          <w:b/>
          <w:bCs/>
        </w:rPr>
      </w:pPr>
      <w:r w:rsidRPr="63A4FA1B">
        <w:rPr>
          <w:b/>
          <w:bCs/>
        </w:rPr>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 xml:space="preserve">For instance, feigning identification </w:t>
      </w:r>
      <w:proofErr w:type="gramStart"/>
      <w:r w:rsidR="00BD526F" w:rsidRPr="00BD526F">
        <w:t>in order to</w:t>
      </w:r>
      <w:proofErr w:type="gramEnd"/>
      <w:r w:rsidR="00BD526F" w:rsidRPr="00BD526F">
        <w:t xml:space="preserve">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lastRenderedPageBreak/>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6B49A660"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 xml:space="preserve">For instance, concealing a pre-existing medical problem when </w:t>
      </w:r>
      <w:proofErr w:type="gramStart"/>
      <w:r w:rsidR="005C3DCE" w:rsidRPr="0092701F">
        <w:t>submitting an application</w:t>
      </w:r>
      <w:proofErr w:type="gramEnd"/>
      <w:r w:rsidR="005C3DCE" w:rsidRPr="0092701F">
        <w:t xml:space="preserve">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lastRenderedPageBreak/>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509499D" w14:textId="74301ADB"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88ED3BC"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w:t>
      </w:r>
      <w:proofErr w:type="gramStart"/>
      <w:r w:rsidR="001E37BE">
        <w:t>business related</w:t>
      </w:r>
      <w:proofErr w:type="gramEnd"/>
      <w:r w:rsidR="001E37BE">
        <w:t xml:space="preserve"> fraud would be: </w:t>
      </w:r>
      <w:r w:rsidR="001E37BE" w:rsidRPr="0092701F">
        <w:t>Offering a bribe to a public official in order to obtain a government contract is an example of business-related fraud</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196D78C3" w:rsidR="000B434E" w:rsidRPr="005705E4" w:rsidRDefault="005705E4" w:rsidP="63A4FA1B">
      <w:r w:rsidRPr="005705E4">
        <w:lastRenderedPageBreak/>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r w:rsidR="001E37BE" w:rsidRPr="00817DDE">
        <w:br/>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1845A42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10472B32" w14:textId="5EDCDA80" w:rsidR="001E37BE" w:rsidRPr="00817DDE" w:rsidRDefault="00E1218B" w:rsidP="001E37BE">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6EEBE7B8" w14:textId="1550C4F4" w:rsidR="00E1218B" w:rsidRPr="00E1218B" w:rsidRDefault="00E1218B" w:rsidP="00E1218B"/>
    <w:p w14:paraId="21A89AD9" w14:textId="43D44104" w:rsidR="78800665" w:rsidRPr="000F0F1A" w:rsidRDefault="78800665" w:rsidP="63A4FA1B">
      <w:pPr>
        <w:rPr>
          <w:b/>
          <w:bCs/>
        </w:rPr>
      </w:pPr>
      <w:r w:rsidRPr="000F0F1A">
        <w:rPr>
          <w:b/>
          <w:bCs/>
        </w:rPr>
        <w:lastRenderedPageBreak/>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w:t>
      </w:r>
      <w:r w:rsidRPr="00905C76">
        <w:lastRenderedPageBreak/>
        <w:t>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 xml:space="preserve">Some positives for the offender of a lighter sentence include that they will not have to suffer a more serious sentence, they </w:t>
      </w:r>
      <w:proofErr w:type="gramStart"/>
      <w:r w:rsidRPr="006C4ED8">
        <w:t>have the opportunity to</w:t>
      </w:r>
      <w:proofErr w:type="gramEnd"/>
      <w:r w:rsidRPr="006C4ED8">
        <w:t xml:space="preserve">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lastRenderedPageBreak/>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0554A278" w:rsidR="006C4ED8" w:rsidRPr="006C4ED8" w:rsidRDefault="006C4ED8" w:rsidP="006C4ED8">
      <w:r w:rsidRPr="006C4ED8">
        <w:t xml:space="preserve">This situation also proves that dealing with even minor offenses should be carried out fairly, with an appropriate balance of accountability and the opportunity for the offender to learn his lesson and modify his </w:t>
      </w:r>
      <w:proofErr w:type="spellStart"/>
      <w:r w:rsidRPr="006C4ED8">
        <w:t>behavior</w:t>
      </w:r>
      <w:proofErr w:type="spellEnd"/>
      <w:r w:rsidRPr="006C4ED8">
        <w:t>.</w:t>
      </w:r>
    </w:p>
    <w:p w14:paraId="434FB7CB" w14:textId="77777777" w:rsidR="00905C76" w:rsidRDefault="00905C76" w:rsidP="00905C76"/>
    <w:p w14:paraId="2ED88C1D" w14:textId="21FEEB57" w:rsidR="00203378"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D6AC798" w14:textId="77777777" w:rsidR="006B35BE" w:rsidRDefault="006B35BE" w:rsidP="00905C76">
      <w:pPr>
        <w:rPr>
          <w:b/>
          <w:bCs/>
        </w:rPr>
      </w:pP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Pr="008B3E14" w:rsidRDefault="00963F87" w:rsidP="00905C76">
      <w:pPr>
        <w:rPr>
          <w:b/>
          <w:bCs/>
        </w:rPr>
      </w:pPr>
      <w:r>
        <w:rPr>
          <w:b/>
          <w:bCs/>
          <w:u w:val="single"/>
        </w:rPr>
        <w:t>Scenario 5</w:t>
      </w:r>
      <w:r w:rsidRPr="008B3E14">
        <w:rPr>
          <w:b/>
          <w:bCs/>
        </w:rPr>
        <w:t>: Ajay’s 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2937ECFE" w14:textId="7E126F9B" w:rsidR="00C36129" w:rsidRDefault="00C36129" w:rsidP="00905C76">
      <w:r w:rsidRPr="00C36129">
        <w:lastRenderedPageBreak/>
        <w:t>In this case, two offences were committed.</w:t>
      </w:r>
      <w:r w:rsidRPr="00C36129">
        <w:br/>
      </w:r>
      <w:r w:rsidRPr="00C36129">
        <w:br/>
        <w:t xml:space="preserve">Part 1 is fraud against the employer, and it comes under the Fraud Act 2006, Section 1, and the Theft Act 1968, Section 17. It is an offence in dishonest acts that result in financial benefit. The sentence imposed on this crime depends on the value of the money stolen. As it was below £2,500, it falls into Culpability Category C, where sentences are lighter, and a fine would most likely be imposed. A lighter sentence is advantageous to the offender, saving him from a heavier sentence and allowing him to redeem himself. Nonetheless, he will have to bear the consequences of having a police record, job loss, and visa issues, which will impact all his </w:t>
      </w:r>
      <w:r w:rsidR="00522894" w:rsidRPr="00C36129">
        <w:t>future</w:t>
      </w:r>
      <w:r w:rsidRPr="00C36129">
        <w:t>. For the employer, this crime was an eye-opener in implementing more security measures, such as cameras around his workplace, observing every move of each employee to prevent this from happening again.</w:t>
      </w:r>
      <w:r w:rsidRPr="00C36129">
        <w:br/>
      </w:r>
      <w:r w:rsidRPr="00C36129">
        <w:br/>
        <w:t>On the negative aspect, the thief employer incurs a financial loss as a result.</w:t>
      </w:r>
      <w:r w:rsidRPr="00C36129">
        <w:br/>
      </w:r>
      <w:r w:rsidRPr="00C36129">
        <w:br/>
        <w:t>Count 2 is for theft, namely theft by making off without payment, under the Theft Act 1978, Section 5. The sentence for such an offence depends on the value of the item stolen. In the present case, since the value is below £200, this counts in Category 2. Punishment could take the form of a fine or a custodial sentence not exceeding 2 years upon discretion by the court.</w:t>
      </w:r>
      <w:r w:rsidRPr="00C36129">
        <w:br/>
      </w:r>
      <w:r w:rsidRPr="00C36129">
        <w:br/>
        <w:t>On the side of the offender, the benefits towards a lighter sentence include not being able to experience harsher punishments and attending rehabilitation programs that could potentially help prevent reoffending. However, they will have a criminal record, which may affect them in getting a decent job in the future. For the victim, justice would be served as it provides him with recognition along with closure on the situation. It also allows the business to weigh how to enhance its security from the expenditure incurred due to such a loss. The business suffers financially from the loss of profit.</w:t>
      </w:r>
    </w:p>
    <w:p w14:paraId="4143D1DE" w14:textId="77777777" w:rsidR="00802BEF" w:rsidRPr="00802BEF" w:rsidRDefault="00802BEF" w:rsidP="00905C76">
      <w:pPr>
        <w:rPr>
          <w:b/>
          <w:bCs/>
          <w:u w:val="single"/>
        </w:rPr>
      </w:pPr>
    </w:p>
    <w:p w14:paraId="60B89B11" w14:textId="2521C055" w:rsidR="00E63DD5" w:rsidRPr="008B3E14" w:rsidRDefault="00E55C29" w:rsidP="00F715EC">
      <w:pPr>
        <w:rPr>
          <w:b/>
          <w:bCs/>
        </w:rPr>
      </w:pPr>
      <w:r>
        <w:rPr>
          <w:b/>
          <w:bCs/>
        </w:rPr>
        <w:t xml:space="preserve"> </w:t>
      </w:r>
      <w:r w:rsidR="00522894">
        <w:rPr>
          <w:b/>
          <w:bCs/>
          <w:u w:val="single"/>
        </w:rPr>
        <w:t>Scenario 6</w:t>
      </w:r>
      <w:r w:rsidR="00522894" w:rsidRPr="008B3E14">
        <w:rPr>
          <w:b/>
          <w:bCs/>
        </w:rPr>
        <w:t>:  Marianne is a waitress in a restaurant. One evening during her shift, she goes into the owner’s flat and is about to take some jewellery, when the owner’s daughter disturbs her. Marianne threatens the girl and leaves with the jewellery.</w:t>
      </w:r>
    </w:p>
    <w:p w14:paraId="107809F5" w14:textId="77777777" w:rsidR="00D765F8" w:rsidRDefault="00D765F8" w:rsidP="00D765F8">
      <w:r>
        <w:t xml:space="preserve">The two offences Marianne committed are theft and threatening behaviour. Theft, under the Theft Act 1968, Section 1, since she stole some jewellery from the owner's flat. Minimum sentence for it is community order, while maximum is 7 years' imprisonment. Given the circumstances, this would be an appropriate sentence-a suspended sentence or community order-taking into consideration the breach of trust as an </w:t>
      </w:r>
      <w:r>
        <w:lastRenderedPageBreak/>
        <w:t>employee but noting any remorse and recovery of the jewellery. The advantages are rehabilitation and not having to go to prison. Disadvantages are a criminal record and possible restitution payments. The victim benefits from the recovery of stolen property and justice being served but suffers emotional distress and a breach of trust.</w:t>
      </w:r>
    </w:p>
    <w:p w14:paraId="6822C103" w14:textId="77777777" w:rsidR="00D765F8" w:rsidRDefault="00D765F8" w:rsidP="00D765F8"/>
    <w:p w14:paraId="53DB64F6" w14:textId="51271C6F" w:rsidR="00D765F8" w:rsidRDefault="00D765F8" w:rsidP="00D765F8">
      <w:r>
        <w:t xml:space="preserve">The second offence, threatening behaviour, is contrary to the Offences Against the Person Act 1861 or the Public Order Act 1986, both having minimum sentence of a fine or community order with a maximum of 5 years' imprisonment. A sentence of a community order or fine would be appropriate as the threat was verbal and no injury was caused. Marianne avoids the rigors of imprisonment and </w:t>
      </w:r>
      <w:r w:rsidR="006935A8">
        <w:t>can</w:t>
      </w:r>
      <w:r>
        <w:t xml:space="preserve"> rehabilitate; however, she </w:t>
      </w:r>
      <w:r w:rsidR="007650C5">
        <w:t>must</w:t>
      </w:r>
      <w:r>
        <w:t xml:space="preserve"> suffer stigma and a criminal record. The victim has the advantage of seeing the offender being brought to justice, but the psychological trauma and feelings of insecurity in their home environment are serious disadvantages.</w:t>
      </w:r>
    </w:p>
    <w:p w14:paraId="726BFB78" w14:textId="77777777" w:rsidR="00522894" w:rsidRDefault="00522894" w:rsidP="00F715EC"/>
    <w:p w14:paraId="22D382A1" w14:textId="77777777" w:rsidR="007650C5" w:rsidRDefault="007650C5" w:rsidP="007650C5">
      <w:r>
        <w:t>Conclusion</w:t>
      </w:r>
    </w:p>
    <w:p w14:paraId="274710AA" w14:textId="77777777" w:rsidR="007650C5" w:rsidRDefault="007650C5" w:rsidP="007650C5"/>
    <w:p w14:paraId="42BBFE16" w14:textId="77777777" w:rsidR="007650C5" w:rsidRPr="007650C5" w:rsidRDefault="007650C5" w:rsidP="007650C5">
      <w:pPr>
        <w:rPr>
          <w:b/>
          <w:bCs/>
          <w:u w:val="single"/>
        </w:rPr>
      </w:pPr>
      <w:r w:rsidRPr="007650C5">
        <w:rPr>
          <w:b/>
          <w:bCs/>
          <w:u w:val="single"/>
        </w:rPr>
        <w:t>Katie Piper: A Non-Fatal Offence</w:t>
      </w:r>
    </w:p>
    <w:p w14:paraId="621DC2DF" w14:textId="5BA78B6C" w:rsidR="007650C5" w:rsidRDefault="007650C5" w:rsidP="007650C5">
      <w:r>
        <w:t xml:space="preserve"> Katie Piper is one of the famous victims of a non-fatal offence, and I think the attack she had to bear was shocking and cruel as it left a scar in her personal life and career. The throwing of acid on her face brought serious physical injuries and emotional pain. For Katie Piper, a model and TV personality who had it going well for her, this attack had a big effect on her </w:t>
      </w:r>
      <w:proofErr w:type="spellStart"/>
      <w:r>
        <w:t>modeling</w:t>
      </w:r>
      <w:proofErr w:type="spellEnd"/>
      <w:r>
        <w:t xml:space="preserve"> career, considering the severity of the facial injuries sustained. However, she has proved quite strong by being an advocate for survivors of similar attacks, turning her experience into a source of hope for many.</w:t>
      </w:r>
    </w:p>
    <w:p w14:paraId="09E4A252" w14:textId="77777777" w:rsidR="007650C5" w:rsidRDefault="007650C5" w:rsidP="007650C5">
      <w:r>
        <w:t xml:space="preserve">News articles, such as one published by The Guardian, have mentioned her courage to confront her attackers and tell the world her story of recovery. Sentencing - Her attacker was sentenced to life imprisonment, something I find appropriate considering that the crime was premeditated and had permanent effects. This sentence might have deterred others, but it is not apparent whether the attacker was reformed. </w:t>
      </w:r>
    </w:p>
    <w:p w14:paraId="41F12865" w14:textId="77777777" w:rsidR="007650C5" w:rsidRDefault="007650C5" w:rsidP="007650C5">
      <w:pPr>
        <w:rPr>
          <w:b/>
          <w:bCs/>
          <w:u w:val="single"/>
        </w:rPr>
      </w:pPr>
    </w:p>
    <w:p w14:paraId="2AC9C0CD" w14:textId="010BEF8A" w:rsidR="007650C5" w:rsidRPr="007650C5" w:rsidRDefault="007650C5" w:rsidP="007650C5">
      <w:pPr>
        <w:rPr>
          <w:b/>
          <w:bCs/>
          <w:u w:val="single"/>
        </w:rPr>
      </w:pPr>
      <w:r w:rsidRPr="007650C5">
        <w:rPr>
          <w:b/>
          <w:bCs/>
          <w:u w:val="single"/>
        </w:rPr>
        <w:t>London Bombings 2005: A Fatal Offence</w:t>
      </w:r>
    </w:p>
    <w:p w14:paraId="18F63F82" w14:textId="76757505" w:rsidR="007650C5" w:rsidRDefault="007650C5" w:rsidP="007650C5">
      <w:r>
        <w:t>In my opinion, the attacks were among the most tragic and nonsensical happenings in modern UK history</w:t>
      </w:r>
      <w:r>
        <w:t xml:space="preserve"> </w:t>
      </w:r>
      <w:r>
        <w:t xml:space="preserve">therefore, it must result in charges for a fatal offence for the London Bombings of 2005. These planned bombings on the London transport system caused the deaths of 52 people and injured hundreds, leaving many families devastated and communities in grief. The aftermath has had an enormous impact on the victims' </w:t>
      </w:r>
      <w:r>
        <w:lastRenderedPageBreak/>
        <w:t>families, who to this date cope with the loss of their loved ones; similarly, businesses around those areas faced disruptions and financial losses. Reports from the time, such as by the BBC, underlined the deep impact on society and the determination of the city to recover. Regarding sentencing, many of those involved in the attacks died, and some linked to the planning were caught and sentenced. The sentences on co-conspirators were heavy, proving the gravity of their actions.</w:t>
      </w:r>
    </w:p>
    <w:p w14:paraId="65B5382E" w14:textId="77777777" w:rsidR="007650C5" w:rsidRDefault="007650C5" w:rsidP="007650C5">
      <w:r>
        <w:t xml:space="preserve">However, it is hard to know if these sentences changed the individuals involved.  </w:t>
      </w:r>
    </w:p>
    <w:p w14:paraId="7A05113F" w14:textId="77777777" w:rsidR="007650C5" w:rsidRDefault="007650C5" w:rsidP="007650C5">
      <w:pPr>
        <w:rPr>
          <w:b/>
          <w:bCs/>
          <w:u w:val="single"/>
        </w:rPr>
      </w:pPr>
    </w:p>
    <w:p w14:paraId="6CBBB67D" w14:textId="7A7BCA19" w:rsidR="007650C5" w:rsidRPr="007650C5" w:rsidRDefault="007650C5" w:rsidP="007650C5">
      <w:pPr>
        <w:rPr>
          <w:b/>
          <w:bCs/>
          <w:u w:val="single"/>
        </w:rPr>
      </w:pPr>
      <w:r w:rsidRPr="007650C5">
        <w:rPr>
          <w:b/>
          <w:bCs/>
          <w:u w:val="single"/>
        </w:rPr>
        <w:t>London Bombings 2005: Criminal Damage</w:t>
      </w:r>
    </w:p>
    <w:p w14:paraId="24A66B22" w14:textId="459CA6A5" w:rsidR="007650C5" w:rsidRDefault="007650C5" w:rsidP="007650C5">
      <w:r>
        <w:t xml:space="preserve"> The London Bombings of 2005 also caused major damage to Transport for London (TFL) property.</w:t>
      </w:r>
    </w:p>
    <w:p w14:paraId="1F68B445" w14:textId="77777777" w:rsidR="007650C5" w:rsidRDefault="007650C5" w:rsidP="007650C5">
      <w:r>
        <w:t>This case, in my opinion, shows the vulnerability of public transport systems towards such attacks and the grave aftermath.</w:t>
      </w:r>
    </w:p>
    <w:p w14:paraId="0ED88865" w14:textId="08E7E806" w:rsidR="007650C5" w:rsidRDefault="007650C5" w:rsidP="007650C5">
      <w:r>
        <w:t xml:space="preserve">TFL had the massive tasks of repairing the damaged trains and stations as well as reassuring the public that it was safe to commute again. Newspaper articles, such as in The Independent talked about the financial and logistical burdens that TFL faced in recovery. </w:t>
      </w:r>
      <w:r>
        <w:t>Several of</w:t>
      </w:r>
      <w:r>
        <w:t xml:space="preserve"> the attackers were caught and convicted and given either life sentences or very long prison sentences. Whether this sentencing acted to deter others planning atrocities is unknown.</w:t>
      </w:r>
    </w:p>
    <w:p w14:paraId="6560CC50" w14:textId="77777777" w:rsidR="007650C5" w:rsidRDefault="007650C5" w:rsidP="007650C5">
      <w:r>
        <w:t xml:space="preserve">The punishments, though minimal, sent a loud message against terrorism and gave partial justice to the victims.  </w:t>
      </w:r>
    </w:p>
    <w:p w14:paraId="678C8E77" w14:textId="77777777" w:rsidR="007650C5" w:rsidRDefault="007650C5" w:rsidP="007650C5"/>
    <w:p w14:paraId="73017B20" w14:textId="164261D8" w:rsidR="007650C5" w:rsidRPr="007650C5" w:rsidRDefault="007650C5" w:rsidP="007650C5">
      <w:pPr>
        <w:rPr>
          <w:b/>
          <w:bCs/>
          <w:u w:val="single"/>
        </w:rPr>
      </w:pPr>
      <w:r w:rsidRPr="007650C5">
        <w:rPr>
          <w:b/>
          <w:bCs/>
          <w:u w:val="single"/>
        </w:rPr>
        <w:t xml:space="preserve">References </w:t>
      </w:r>
    </w:p>
    <w:p w14:paraId="14F9AB4B" w14:textId="33972E2F" w:rsidR="007650C5" w:rsidRDefault="007650C5" w:rsidP="007650C5">
      <w:r>
        <w:t>1. The Guardian, 2024. Acid attack survivor Katie Piper's journey to recovery. Available at: https://www.theguardian.com [Accessed 12 December 2024].</w:t>
      </w:r>
    </w:p>
    <w:p w14:paraId="5DDE6690" w14:textId="77777777" w:rsidR="007650C5" w:rsidRDefault="007650C5" w:rsidP="007650C5">
      <w:r>
        <w:t>2. BBC, 2024. London Bombings: The impact on victims and society. Available at: https://www.bbc.co.uk [Accessed 12 December 2024].</w:t>
      </w:r>
    </w:p>
    <w:p w14:paraId="75B2B0EC" w14:textId="79F24217" w:rsidR="006935A8" w:rsidRDefault="007650C5" w:rsidP="007650C5">
      <w:r>
        <w:t xml:space="preserve"> 3. The Independent, 2024. Damage to TFL and Recovery After Bombings Available at: https://www.independent.co.uk [Accessed 12 December 2024].</w:t>
      </w:r>
    </w:p>
    <w:p w14:paraId="5CEC2E84" w14:textId="77777777" w:rsidR="006935A8" w:rsidRPr="00522894" w:rsidRDefault="006935A8" w:rsidP="00F715EC"/>
    <w:p w14:paraId="63025BE7" w14:textId="2FC8BD73" w:rsidR="002D0161" w:rsidRDefault="00F715EC" w:rsidP="00F715EC">
      <w:r w:rsidRPr="00F715EC">
        <w:br/>
      </w:r>
    </w:p>
    <w:p w14:paraId="64EBCD3F" w14:textId="264292B1" w:rsidR="00F715EC" w:rsidRPr="00F715EC" w:rsidRDefault="00F715EC" w:rsidP="00F715EC">
      <w:r w:rsidRPr="00F715EC">
        <w:lastRenderedPageBreak/>
        <w:br/>
      </w:r>
      <w:r w:rsidRPr="00F715EC">
        <w:br/>
      </w:r>
    </w:p>
    <w:p w14:paraId="4962FA20" w14:textId="77777777" w:rsidR="008837BD" w:rsidRDefault="008837BD"/>
    <w:sectPr w:rsidR="00883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2AF7" w14:textId="77777777" w:rsidR="00375DEA" w:rsidRDefault="00375DEA" w:rsidP="00375DEA">
      <w:pPr>
        <w:spacing w:after="0" w:line="240" w:lineRule="auto"/>
      </w:pPr>
      <w:r>
        <w:separator/>
      </w:r>
    </w:p>
  </w:endnote>
  <w:endnote w:type="continuationSeparator" w:id="0">
    <w:p w14:paraId="60DDA4DD" w14:textId="77777777" w:rsidR="00375DEA" w:rsidRDefault="00375DEA"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C4C5" w14:textId="77777777" w:rsidR="00375DEA" w:rsidRDefault="00375DEA" w:rsidP="00375DEA">
      <w:pPr>
        <w:spacing w:after="0" w:line="240" w:lineRule="auto"/>
      </w:pPr>
      <w:r>
        <w:separator/>
      </w:r>
    </w:p>
  </w:footnote>
  <w:footnote w:type="continuationSeparator" w:id="0">
    <w:p w14:paraId="0190EA68" w14:textId="77777777" w:rsidR="00375DEA" w:rsidRDefault="00375DEA"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1E37BE"/>
    <w:rsid w:val="00203378"/>
    <w:rsid w:val="0027652C"/>
    <w:rsid w:val="00277D3C"/>
    <w:rsid w:val="00296B56"/>
    <w:rsid w:val="002A138E"/>
    <w:rsid w:val="002D0161"/>
    <w:rsid w:val="002D27F3"/>
    <w:rsid w:val="002D41C4"/>
    <w:rsid w:val="002F1B42"/>
    <w:rsid w:val="00375DEA"/>
    <w:rsid w:val="003B0A6D"/>
    <w:rsid w:val="003C3466"/>
    <w:rsid w:val="003D429C"/>
    <w:rsid w:val="003D6F2C"/>
    <w:rsid w:val="004638FC"/>
    <w:rsid w:val="0046570E"/>
    <w:rsid w:val="00465A34"/>
    <w:rsid w:val="00473894"/>
    <w:rsid w:val="004757C0"/>
    <w:rsid w:val="004A3D08"/>
    <w:rsid w:val="00514E6B"/>
    <w:rsid w:val="00522894"/>
    <w:rsid w:val="005705E4"/>
    <w:rsid w:val="00594366"/>
    <w:rsid w:val="00596860"/>
    <w:rsid w:val="005A7BDA"/>
    <w:rsid w:val="005C3DCE"/>
    <w:rsid w:val="005D5BBF"/>
    <w:rsid w:val="005F2849"/>
    <w:rsid w:val="0060392F"/>
    <w:rsid w:val="006743A4"/>
    <w:rsid w:val="006935A8"/>
    <w:rsid w:val="006B35BE"/>
    <w:rsid w:val="006C4ED8"/>
    <w:rsid w:val="00720FFF"/>
    <w:rsid w:val="007650C5"/>
    <w:rsid w:val="007658A1"/>
    <w:rsid w:val="007731D8"/>
    <w:rsid w:val="007A22DA"/>
    <w:rsid w:val="007B2FB1"/>
    <w:rsid w:val="00802BEF"/>
    <w:rsid w:val="00807EBE"/>
    <w:rsid w:val="0082508F"/>
    <w:rsid w:val="00834156"/>
    <w:rsid w:val="00842075"/>
    <w:rsid w:val="0087428F"/>
    <w:rsid w:val="008837BD"/>
    <w:rsid w:val="00884B58"/>
    <w:rsid w:val="008A3250"/>
    <w:rsid w:val="008A4BF3"/>
    <w:rsid w:val="008B3E14"/>
    <w:rsid w:val="00905C76"/>
    <w:rsid w:val="00910526"/>
    <w:rsid w:val="0091053B"/>
    <w:rsid w:val="00921E27"/>
    <w:rsid w:val="00963F87"/>
    <w:rsid w:val="009D64FA"/>
    <w:rsid w:val="00A00C6B"/>
    <w:rsid w:val="00A35F99"/>
    <w:rsid w:val="00A36C1C"/>
    <w:rsid w:val="00A3726C"/>
    <w:rsid w:val="00A50679"/>
    <w:rsid w:val="00A5566C"/>
    <w:rsid w:val="00A60EB1"/>
    <w:rsid w:val="00A90D71"/>
    <w:rsid w:val="00AB436B"/>
    <w:rsid w:val="00AD135D"/>
    <w:rsid w:val="00AD598C"/>
    <w:rsid w:val="00B10CDA"/>
    <w:rsid w:val="00B2082E"/>
    <w:rsid w:val="00B42705"/>
    <w:rsid w:val="00B84E49"/>
    <w:rsid w:val="00BD526F"/>
    <w:rsid w:val="00C2471B"/>
    <w:rsid w:val="00C329B9"/>
    <w:rsid w:val="00C36129"/>
    <w:rsid w:val="00C5291F"/>
    <w:rsid w:val="00CB760A"/>
    <w:rsid w:val="00D54593"/>
    <w:rsid w:val="00D67A6C"/>
    <w:rsid w:val="00D765F8"/>
    <w:rsid w:val="00D76C23"/>
    <w:rsid w:val="00DA499F"/>
    <w:rsid w:val="00E1218B"/>
    <w:rsid w:val="00E55C29"/>
    <w:rsid w:val="00E63DD5"/>
    <w:rsid w:val="00E81598"/>
    <w:rsid w:val="00EB3CB4"/>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2.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3.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4.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4695</Words>
  <Characters>26766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5</cp:revision>
  <dcterms:created xsi:type="dcterms:W3CDTF">2025-01-08T09:40:00Z</dcterms:created>
  <dcterms:modified xsi:type="dcterms:W3CDTF">2025-01-08T09:49:00Z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