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12283C"/>
          <w:sz w:val="56"/>
          <w:szCs w:val="56"/>
        </w:rPr>
        <w:t xml:space="preserve">Техническое задание</w:t>
      </w:r>
    </w:p>
    <w:p>
      <w:pPr>
        <w:spacing w:after="40"/>
        <w:jc w:val="center"/>
      </w:pPr>
      <w:r>
        <w:rPr>
          <w:color w:val="1A3A5C"/>
          <w:sz w:val="36"/>
          <w:szCs w:val="36"/>
        </w:rPr>
        <w:t xml:space="preserve">Сервис строчек DMP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Вынос обработки строк из Bitrix24 в отдельный сервис</w:t>
      </w:r>
    </w:p>
    <w:p>
      <w:pPr>
        <w:spacing w:after="20" w:before="400"/>
        <w:jc w:val="center"/>
      </w:pPr>
      <w:r>
        <w:rPr>
          <w:color w:val="444444"/>
          <w:sz w:val="20"/>
          <w:szCs w:val="20"/>
        </w:rPr>
        <w:t xml:space="preserve">SodaTech · Технический отдел</w:t>
      </w:r>
    </w:p>
    <w:p>
      <w:pPr>
        <w:jc w:val="center"/>
      </w:pPr>
      <w:r>
        <w:rPr>
          <w:color w:val="888888"/>
          <w:sz w:val="18"/>
          <w:szCs w:val="18"/>
        </w:rPr>
        <w:t xml:space="preserve">Август 2026 · Версия 2.0 (после созвона с Виталием)</w:t>
      </w:r>
    </w:p>
    <w:p>
      <w:r>
        <w:br w:type="page"/>
      </w:r>
    </w:p>
    <w:p>
      <w:pPr>
        <w:keepNext/>
        <w:spacing w:after="140" w:before="360"/>
      </w:pPr>
      <w:r>
        <w:rPr>
          <w:b/>
          <w:bCs/>
          <w:color w:val="12283C"/>
          <w:sz w:val="28"/>
          <w:szCs w:val="28"/>
        </w:rPr>
        <w:t xml:space="preserve">1. Назначение и контекст</w:t>
      </w: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1.1 Проблема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Переполнение базы.</w:t>
      </w:r>
      <w:r>
        <w:rPr>
          <w:b w:val="false"/>
          <w:bCs w:val="false"/>
          <w:color w:val="222222"/>
          <w:sz w:val="19"/>
          <w:szCs w:val="19"/>
        </w:rPr>
        <w:t xml:space="preserve"> DMP генерирует ~33 000 строк в сутки. 82,84% всех лидов Bitrix приходятся на DMP-источники. Диск ~82%, запас ~6,6 месяца.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Деградация производительности.</w:t>
      </w:r>
      <w:r>
        <w:rPr>
          <w:b w:val="false"/>
          <w:bCs w:val="false"/>
          <w:color w:val="222222"/>
          <w:sz w:val="19"/>
          <w:szCs w:val="19"/>
        </w:rPr>
        <w:t xml:space="preserve"> Движок БП обрабатывает миллионы исполнений с тривиально простой логикой.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Связанность.</w:t>
      </w:r>
      <w:r>
        <w:rPr>
          <w:b w:val="false"/>
          <w:bCs w:val="false"/>
          <w:color w:val="222222"/>
          <w:sz w:val="19"/>
          <w:szCs w:val="19"/>
        </w:rPr>
        <w:t xml:space="preserve"> Обработка строк намертво сцеплена с CRM-логикой Bitrix.</w:t>
      </w: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1.2 Решение</w:t>
      </w:r>
    </w:p>
    <w:p>
      <w:pPr>
        <w:spacing w:after="100" w:line="268"/>
      </w:pPr>
      <w:r>
        <w:rPr>
          <w:b w:val="false"/>
          <w:bCs w:val="false"/>
          <w:color w:val="222222"/>
          <w:sz w:val="19"/>
          <w:szCs w:val="19"/>
        </w:rPr>
        <w:t xml:space="preserve">Вынести всю обработку строк в отдельный сервис на Go с собственным хранилищем. Bitrix остаётся только для воронки работы с рекламодателями (после Распределителя).</w:t>
      </w:r>
    </w:p>
    <w:p>
      <w:pPr>
        <w:pBdr>
          <w:top w:val="single" w:color="E8F5E9" w:sz="2" w:space="6"/>
          <w:bottom w:val="single" w:color="E8F5E9" w:sz="2" w:space="6"/>
          <w:left w:val="single" w:color="2E7D32" w:sz="18" w:space="10"/>
          <w:right w:val="single" w:color="E8F5E9" w:sz="2" w:space="6"/>
        </w:pBdr>
        <w:shd w:fill="E8F5E9" w:val="clear"/>
        <w:spacing w:after="120" w:before="60" w:line="268"/>
      </w:pPr>
      <w:r>
        <w:rPr>
          <w:b w:val="false"/>
          <w:bCs w:val="false"/>
          <w:color w:val="222222"/>
          <w:sz w:val="19"/>
          <w:szCs w:val="19"/>
        </w:rPr>
        <w:t xml:space="preserve">Ожидаемый эффект: разгрузка Bitrix на ~40–46% объёма БД (136–184 ГБ), уход ~95% генератора роста, развязка обработки строк от CRM.</w:t>
      </w: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1.3 Термины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Термин</w:t>
            </w:r>
          </w:p>
        </w:tc>
        <w:tc>
          <w:tcPr>
            <w:tcW w:type="dxa" w:w="68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Значение</w:t>
            </w:r>
          </w:p>
        </w:tc>
      </w:tr>
      <w:tr>
        <w:tc>
          <w:tcPr>
            <w:tcW w:type="dxa" w:w="24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Строка (строчка)</w:t>
            </w:r>
          </w:p>
        </w:tc>
        <w:tc>
          <w:tcPr>
            <w:tcW w:type="dxa" w:w="68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Сырой лид из DMP-источника. Основная сущность сервиса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Лид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Квалифицированная строка (прошла обзвон). status=5</w:t>
            </w:r>
          </w:p>
        </w:tc>
      </w:tr>
      <w:tr>
        <w:tc>
          <w:tcPr>
            <w:tcW w:type="dxa" w:w="24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Три домена</w:t>
            </w:r>
          </w:p>
        </w:tc>
        <w:tc>
          <w:tcPr>
            <w:tcW w:type="dxa" w:w="68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Термин Виталия: 1) API — приём, 2) outbox reader — без Rabbit, 3) Worker — бизнес-логика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Скорозвон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Внешний сервис автообзвона (auto-dialer)</w:t>
            </w:r>
          </w:p>
        </w:tc>
      </w:tr>
      <w:tr>
        <w:tc>
          <w:tcPr>
            <w:tcW w:type="dxa" w:w="24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ЮПК (upk)</w:t>
            </w:r>
          </w:p>
        </w:tc>
        <w:tc>
          <w:tcPr>
            <w:tcW w:type="dxa" w:w="68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Покупатель дублей строк (партнёр): РТ, КР, ББ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Распределитель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Стадия в Bitrix, куда передаётся квалифицированный лид</w:t>
            </w:r>
          </w:p>
        </w:tc>
      </w:tr>
    </w:tbl>
    <w:p>
      <w:pPr>
        <w:spacing w:after="80"/>
      </w:pPr>
    </w:p>
    <w:p>
      <w:pPr>
        <w:keepNext/>
        <w:spacing w:after="140" w:before="360"/>
      </w:pPr>
      <w:r>
        <w:rPr>
          <w:b/>
          <w:bCs/>
          <w:color w:val="12283C"/>
          <w:sz w:val="28"/>
          <w:szCs w:val="28"/>
        </w:rPr>
        <w:t xml:space="preserve">2. Границы системы</w:t>
      </w: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2.1 Что входит в сервис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Приём строк от поставщиков (мимикрия под хук Bitrix).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Обогащение: нормализация, регион, дедупликация (Заря), дробление источника, метки.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Маршрутизация: Скорозвон + партнёры.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Приём исхода обзвона от Скорозвона (webhook).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Передача квалифицированного лида в Bitrix на Распределитель.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Хранение истории строк (горячее в Postgres, архив в S3).</w:t>
      </w: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2.2 Что остаётся в Bitrix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Воронка работы с рекламодателями (после Распределителя).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Распределение лидов между рекламодателями.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CRM-функциональность (сделки, контакты рекламодателей).</w:t>
      </w: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2.3 Второй этап (не входит в первый релиз)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СМС и CRMCalls — автоматизация (сейчас read-only доступ к БД).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Антифрод и rate-limiting.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Конфигуратор источников уровня 3.</w:t>
      </w:r>
    </w:p>
    <w:p>
      <w:pPr>
        <w:pBdr>
          <w:top w:val="single" w:color="FFEBEE" w:sz="2" w:space="6"/>
          <w:bottom w:val="single" w:color="FFEBEE" w:sz="2" w:space="6"/>
          <w:left w:val="single" w:color="CC0000" w:sz="18" w:space="10"/>
          <w:right w:val="single" w:color="FFEBEE" w:sz="2" w:space="6"/>
        </w:pBdr>
        <w:shd w:fill="FFEBEE" w:val="clear"/>
        <w:spacing w:after="120" w:before="60" w:line="268"/>
      </w:pPr>
      <w:r>
        <w:rPr>
          <w:b w:val="false"/>
          <w:bCs w:val="false"/>
          <w:color w:val="222222"/>
          <w:sz w:val="19"/>
          <w:szCs w:val="19"/>
        </w:rPr>
        <w:t xml:space="preserve">Граница закрыта: сервис отвечает за жизнь строки ДО Распределителя. Воронка реклов (ДМП 3.0) — отдельный проект.</w:t>
      </w:r>
    </w:p>
    <w:p>
      <w:pPr>
        <w:spacing w:after="80"/>
      </w:pPr>
    </w:p>
    <w:p>
      <w:pPr>
        <w:keepNext/>
        <w:spacing w:after="140" w:before="360"/>
      </w:pPr>
      <w:r>
        <w:rPr>
          <w:b/>
          <w:bCs/>
          <w:color w:val="12283C"/>
          <w:sz w:val="28"/>
          <w:szCs w:val="28"/>
        </w:rPr>
        <w:t xml:space="preserve">3. Архитектура и технологический стек</w:t>
      </w: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3.1 Стек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c>
          <w:tcPr>
            <w:tcW w:type="dxa" w:w="20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Компонент</w:t>
            </w:r>
          </w:p>
        </w:tc>
        <w:tc>
          <w:tcPr>
            <w:tcW w:type="dxa" w:w="22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Технология</w:t>
            </w:r>
          </w:p>
        </w:tc>
        <w:tc>
          <w:tcPr>
            <w:tcW w:type="dxa" w:w="50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Роль</w:t>
            </w:r>
          </w:p>
        </w:tc>
      </w:tr>
      <w:tr>
        <w:tc>
          <w:tcPr>
            <w:tcW w:type="dxa" w:w="20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Язык</w:t>
            </w:r>
          </w:p>
        </w:tc>
        <w:tc>
          <w:tcPr>
            <w:tcW w:type="dxa" w:w="22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</w:t>
            </w:r>
          </w:p>
        </w:tc>
        <w:tc>
          <w:tcPr>
            <w:tcW w:type="dxa" w:w="50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Все сервисы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Основное хранилище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PostgreSQL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Горячие данные: строки, события, отправки</w:t>
            </w:r>
          </w:p>
        </w:tc>
      </w:tr>
      <w:tr>
        <w:tc>
          <w:tcPr>
            <w:tcW w:type="dxa" w:w="20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Объектное хранилище</w:t>
            </w:r>
          </w:p>
        </w:tc>
        <w:tc>
          <w:tcPr>
            <w:tcW w:type="dxa" w:w="22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S3 / MinIO</w:t>
            </w:r>
          </w:p>
        </w:tc>
        <w:tc>
          <w:tcPr>
            <w:tcW w:type="dxa" w:w="50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Сырьё строк и архив тяжёлых полей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Кэш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Redis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Идемпотентность (web_id, Idempotency-Key), кэш справочников</w:t>
            </w:r>
          </w:p>
        </w:tc>
      </w:tr>
    </w:tbl>
    <w:p>
      <w:pPr>
        <w:spacing w:after="60"/>
      </w:pPr>
    </w:p>
    <w:p>
      <w:pPr>
        <w:pBdr>
          <w:top w:val="single" w:color="FFEBEE" w:sz="2" w:space="6"/>
          <w:bottom w:val="single" w:color="FFEBEE" w:sz="2" w:space="6"/>
          <w:left w:val="single" w:color="CC0000" w:sz="18" w:space="10"/>
          <w:right w:val="single" w:color="FFEBEE" w:sz="2" w:space="6"/>
        </w:pBdr>
        <w:shd w:fill="FFEBEE" w:val="clear"/>
        <w:spacing w:after="120" w:before="60" w:line="268"/>
      </w:pPr>
      <w:r>
        <w:rPr>
          <w:b w:val="false"/>
          <w:bCs w:val="false"/>
          <w:color w:val="222222"/>
          <w:sz w:val="19"/>
          <w:szCs w:val="19"/>
        </w:rPr>
        <w:t xml:space="preserve">RabbitMQ убран после созвона с Виталием. При текущих объёмах (~33k/сутки, &lt;1 RPS) Rabbit избыточен. Worker читает outbox напрямую через SKIP LOCKED. При росте до 150k+ строк/сутки — добавить Rabbit как отдельный модуль.</w:t>
      </w:r>
    </w:p>
    <w:p>
      <w:pPr>
        <w:spacing w:after="80"/>
      </w:pP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3.2 Три домена (терминология разработчика)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400"/>
      </w:tblGrid>
      <w:tr>
        <w:tc>
          <w:tcPr>
            <w:tcW w:type="dxa" w:w="10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Домен</w:t>
            </w:r>
          </w:p>
        </w:tc>
        <w:tc>
          <w:tcPr>
            <w:tcW w:type="dxa" w:w="18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Компонент</w:t>
            </w:r>
          </w:p>
        </w:tc>
        <w:tc>
          <w:tcPr>
            <w:tcW w:type="dxa" w:w="64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Что делает</w:t>
            </w:r>
          </w:p>
        </w:tc>
      </w:tr>
      <w:tr>
        <w:tc>
          <w:tcPr>
            <w:tcW w:type="dxa" w:w="10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REST API</w:t>
            </w:r>
          </w:p>
        </w:tc>
        <w:tc>
          <w:tcPr>
            <w:tcW w:type="dxa" w:w="64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Принимает строки от поставщиков (Метод 1). Принимает webhook от Скорозвона (Метод 2). Пишет в S3 и outbox. Webhook обрабатывает напрямую — Worker не участвует.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Outbox reader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SELECT FROM outbox SKIP LOCKED. Параллельные воркеры без конфликтов. Удаляет запись после обработки. Самоочищается.</w:t>
            </w:r>
          </w:p>
        </w:tc>
      </w:tr>
      <w:tr>
        <w:tc>
          <w:tcPr>
            <w:tcW w:type="dxa" w:w="10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Worker</w:t>
            </w:r>
          </w:p>
        </w:tc>
        <w:tc>
          <w:tcPr>
            <w:tcW w:type="dxa" w:w="64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Читает из outbox. Выполняет всю бизнес-логику: нормализация, регион, Заря, дробление, маршрутизация. Делает исходящие вызовы (Скорозвон, партнёры, Битрикс).</w:t>
            </w:r>
          </w:p>
        </w:tc>
      </w:tr>
    </w:tbl>
    <w:p>
      <w:pPr>
        <w:spacing w:after="80"/>
      </w:pP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3.3 Схема потока строки</w:t>
      </w:r>
    </w:p>
    <w:p>
      <w:pPr>
        <w:pBdr>
          <w:left w:val="single" w:color="999999" w:sz="12" w:space="8"/>
        </w:pBdr>
        <w:shd w:fill="F4F4F4" w:val="clear"/>
        <w:spacing w:after="100" w:before="4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Поставщик
  → [Домен 1: REST API]
      → S3: PUT raw/{uuid}.json (сырьё)
      → Postgres: txn [ INSERT lead_row(status=1) + INSERT outbox(source_id, payload) ]
      → 200 OK + uuid
[Домен 2: Outbox reader]
  → SELECT FROM outbox SKIP LOCKED
  → [Домен 3: Worker]
      → нормализация → регион → Заря → дробление → маршрутизация
      → Скорозвон (POST /api/v2/leads + assign_leads)
      → партнёры (POST webhook)
      → DELETE outbox
Скорозвон
  → [Домен 1: REST API] POST /webhook/skorozvon
      → UPDATE lead_row (call_*, call_form, city, status=4)
      → 200 OK
[Домен 3: Worker]
  → Bitrix: crm.lead.add (COMMENTS=call_form, STATUS=Распределитель)
  → UPDATE status=5</w:t>
      </w:r>
    </w:p>
    <w:p>
      <w:pPr>
        <w:spacing w:after="80"/>
      </w:pP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3.4 Ключевые архитектурные решения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Transactional outbox.</w:t>
      </w:r>
      <w:r>
        <w:rPr>
          <w:b w:val="false"/>
          <w:bCs w:val="false"/>
          <w:color w:val="222222"/>
          <w:sz w:val="19"/>
          <w:szCs w:val="19"/>
        </w:rPr>
        <w:t xml:space="preserve"> S3 + [lead_row + outbox] пишутся в одной транзакции. Гарантирует at-least-once без распределённых транзакций.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SKIP LOCKED.</w:t>
      </w:r>
      <w:r>
        <w:rPr>
          <w:b w:val="false"/>
          <w:bCs w:val="false"/>
          <w:color w:val="222222"/>
          <w:sz w:val="19"/>
          <w:szCs w:val="19"/>
        </w:rPr>
        <w:t xml:space="preserve"> Несколько экземпляров Worker читают outbox параллельно без блокировок.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Webhook → API напрямую.</w:t>
      </w:r>
      <w:r>
        <w:rPr>
          <w:b w:val="false"/>
          <w:bCs w:val="false"/>
          <w:color w:val="222222"/>
          <w:sz w:val="19"/>
          <w:szCs w:val="19"/>
        </w:rPr>
        <w:t xml:space="preserve"> Обработка webhook от Скорозвона — простой UPDATE в Postgres (миллисекунды). Relay и Worker не участвуют — укладывается в таймаут Скорозвона (10 сек).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403 вместо 503.</w:t>
      </w:r>
      <w:r>
        <w:rPr>
          <w:b w:val="false"/>
          <w:bCs w:val="false"/>
          <w:color w:val="222222"/>
          <w:sz w:val="19"/>
          <w:szCs w:val="19"/>
        </w:rPr>
        <w:t xml:space="preserve"> При aktiven=false — 403 Forbidden (намеренный отказ, не серверная ошибка). Поставщики с retry-логикой корректно интерпретируют.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source_id в outbox.</w:t>
      </w:r>
      <w:r>
        <w:rPr>
          <w:b w:val="false"/>
          <w:bCs w:val="false"/>
          <w:color w:val="222222"/>
          <w:sz w:val="19"/>
          <w:szCs w:val="19"/>
        </w:rPr>
        <w:t xml:space="preserve"> Worker читает source_id из outbox — не обращается к lead_row. API знает только S3 и outbox.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archived_at.</w:t>
      </w:r>
      <w:r>
        <w:rPr>
          <w:b w:val="false"/>
          <w:bCs w:val="false"/>
          <w:color w:val="222222"/>
          <w:sz w:val="19"/>
          <w:szCs w:val="19"/>
        </w:rPr>
        <w:t xml:space="preserve"> Единственное поле архивации. NULL = активная, NOT NULL = архивная. Поле archived (boolean) убрано как дублирующее.</w:t>
      </w:r>
    </w:p>
    <w:p>
      <w:pPr>
        <w:spacing w:after="80"/>
      </w:pPr>
    </w:p>
    <w:p>
      <w:pPr>
        <w:keepNext/>
        <w:spacing w:after="140" w:before="360"/>
      </w:pPr>
      <w:r>
        <w:rPr>
          <w:b/>
          <w:bCs/>
          <w:color w:val="12283C"/>
          <w:sz w:val="28"/>
          <w:szCs w:val="28"/>
        </w:rPr>
        <w:t xml:space="preserve">4. Компоненты системы</w:t>
      </w: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4.1 REST API (Домен 1)</w:t>
      </w:r>
    </w:p>
    <w:p>
      <w:pPr>
        <w:spacing w:after="100" w:line="268"/>
      </w:pPr>
      <w:r>
        <w:rPr>
          <w:b w:val="false"/>
          <w:bCs w:val="false"/>
          <w:color w:val="222222"/>
          <w:sz w:val="19"/>
          <w:szCs w:val="19"/>
        </w:rPr>
        <w:t xml:space="preserve">Два входящих эндпоинта. Задача — принять быстро и надёжно, тяжёлую работу отдать Worker.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Метод 1 receiveLead</w:t>
      </w:r>
      <w:r>
        <w:rPr>
          <w:b w:val="false"/>
          <w:bCs w:val="false"/>
          <w:color w:val="222222"/>
          <w:sz w:val="19"/>
          <w:szCs w:val="19"/>
        </w:rPr>
        <w:t xml:space="preserve"> — приём строк (мимикрия хука Bitrix). Идемпотентность по web_id.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Метод 2 receiveWebhook</w:t>
      </w:r>
      <w:r>
        <w:rPr>
          <w:b w:val="false"/>
          <w:bCs w:val="false"/>
          <w:color w:val="222222"/>
          <w:sz w:val="19"/>
          <w:szCs w:val="19"/>
        </w:rPr>
        <w:t xml:space="preserve"> — webhook от Скорозвона (call_result + form_response). Обрабатывается напрямую, без Worker.</w:t>
      </w: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4.2 Outbox Reader (Домен 2)</w:t>
      </w:r>
    </w:p>
    <w:p>
      <w:pPr>
        <w:spacing w:after="100" w:line="268"/>
      </w:pPr>
      <w:r>
        <w:rPr>
          <w:b w:val="false"/>
          <w:bCs w:val="false"/>
          <w:color w:val="222222"/>
          <w:sz w:val="19"/>
          <w:szCs w:val="19"/>
        </w:rPr>
        <w:t xml:space="preserve">SELECT FROM outbox SKIP LOCKED. Передаёт задачи Worker. Удаляет обработанные записи. При сбое Worker задача остаётся в outbox и подберётся повторно.</w:t>
      </w: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4.3 Worker (Домен 3)</w:t>
      </w:r>
    </w:p>
    <w:p>
      <w:pPr>
        <w:spacing w:after="100" w:line="268"/>
      </w:pPr>
      <w:r>
        <w:rPr>
          <w:b w:val="false"/>
          <w:bCs w:val="false"/>
          <w:color w:val="222222"/>
          <w:sz w:val="19"/>
          <w:szCs w:val="19"/>
        </w:rPr>
        <w:t xml:space="preserve">Основной обработчик. Выполняет обогащение и исходящие вызовы. Подтверждает обработку (DELETE outbox) только после успешного завершения.</w:t>
      </w:r>
    </w:p>
    <w:p>
      <w:pPr>
        <w:spacing w:after="80"/>
      </w:pPr>
    </w:p>
    <w:p>
      <w:pPr>
        <w:keepNext/>
        <w:spacing w:after="140" w:before="360"/>
      </w:pPr>
      <w:r>
        <w:rPr>
          <w:b/>
          <w:bCs/>
          <w:color w:val="12283C"/>
          <w:sz w:val="28"/>
          <w:szCs w:val="28"/>
        </w:rPr>
        <w:t xml:space="preserve">5. Приём строк от поставщиков</w:t>
      </w:r>
    </w:p>
    <w:p>
      <w:pPr>
        <w:spacing w:after="100" w:line="268"/>
      </w:pPr>
      <w:r>
        <w:rPr>
          <w:b w:val="false"/>
          <w:bCs w:val="false"/>
          <w:color w:val="222222"/>
          <w:sz w:val="19"/>
          <w:szCs w:val="19"/>
        </w:rPr>
        <w:t xml:space="preserve">Полное описание — Метод 1 в документе «Методы API DMP».</w:t>
      </w: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5.1 Формат</w:t>
      </w:r>
    </w:p>
    <w:p>
      <w:pPr>
        <w:pBdr>
          <w:left w:val="single" w:color="999999" w:sz="12" w:space="8"/>
        </w:pBdr>
        <w:shd w:fill="F4F4F4" w:val="clear"/>
        <w:spacing w:after="100" w:before="4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POST /rest/{userID}/{token}/crm.lead.add.json
Content-Type: application/x-www-form-urlencoded
fields[PHONE]=79001234567&amp;fields[SOURCE_ID]=UC_XXX&amp;...</w:t>
      </w:r>
    </w:p>
    <w:p>
      <w:pPr>
        <w:spacing w:after="100" w:line="268"/>
      </w:pPr>
      <w:r>
        <w:rPr>
          <w:b w:val="false"/>
          <w:bCs w:val="false"/>
          <w:color w:val="222222"/>
          <w:sz w:val="19"/>
          <w:szCs w:val="19"/>
        </w:rPr>
        <w:t xml:space="preserve">Поставщик меняет только домен. Токен в URL идентифицирует источник.</w:t>
      </w: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5.2 Гарантии приёма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Идемпотентность.</w:t>
      </w:r>
      <w:r>
        <w:rPr>
          <w:b w:val="false"/>
          <w:bCs w:val="false"/>
          <w:color w:val="222222"/>
          <w:sz w:val="19"/>
          <w:szCs w:val="19"/>
        </w:rPr>
        <w:t xml:space="preserve"> web_id проверяется в Redis (SET NX, TTL 24h).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Durable accept.</w:t>
      </w:r>
      <w:r>
        <w:rPr>
          <w:b w:val="false"/>
          <w:bCs w:val="false"/>
          <w:color w:val="222222"/>
          <w:sz w:val="19"/>
          <w:szCs w:val="19"/>
        </w:rPr>
        <w:t xml:space="preserve"> S3 → транзакция [lead_row + outbox] → 200 только после COMMIT.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syrye_key NOT NULL.</w:t>
      </w:r>
      <w:r>
        <w:rPr>
          <w:b w:val="false"/>
          <w:bCs w:val="false"/>
          <w:color w:val="222222"/>
          <w:sz w:val="19"/>
          <w:szCs w:val="19"/>
        </w:rPr>
        <w:t xml:space="preserve"> S3 пишется до Postgres. Нет сырья = нет строки.</w:t>
      </w:r>
    </w:p>
    <w:p>
      <w:pPr>
        <w:spacing w:after="80"/>
      </w:pPr>
    </w:p>
    <w:p>
      <w:pPr>
        <w:keepNext/>
        <w:spacing w:after="140" w:before="360"/>
      </w:pPr>
      <w:r>
        <w:rPr>
          <w:b/>
          <w:bCs/>
          <w:color w:val="12283C"/>
          <w:sz w:val="28"/>
          <w:szCs w:val="28"/>
        </w:rPr>
        <w:t xml:space="preserve">6. Worker: обработка строки</w:t>
      </w:r>
    </w:p>
    <w:p>
      <w:pPr>
        <w:spacing w:after="100" w:line="268"/>
      </w:pPr>
      <w:r>
        <w:rPr>
          <w:b w:val="false"/>
          <w:bCs w:val="false"/>
          <w:color w:val="222222"/>
          <w:sz w:val="19"/>
          <w:szCs w:val="19"/>
        </w:rPr>
        <w:t xml:space="preserve">Полная последовательность шагов сверена с bpt-файлами Bitrix (bp27, bp28, bp38). Подробнее — документ «Логика обработки строки».</w:t>
      </w: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6.1 Алгоритм обработки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Нормализация телефона</w:t>
      </w:r>
      <w:r>
        <w:rPr>
          <w:b w:val="false"/>
          <w:bCs w:val="false"/>
          <w:color w:val="222222"/>
          <w:sz w:val="19"/>
          <w:szCs w:val="19"/>
        </w:rPr>
        <w:t xml:space="preserve"> → E.164, phone_valid. Битый → status=6, СТОП.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Определение оператора</w:t>
      </w:r>
      <w:r>
        <w:rPr>
          <w:b w:val="false"/>
          <w:bCs w:val="false"/>
          <w:color w:val="222222"/>
          <w:sz w:val="19"/>
          <w:szCs w:val="19"/>
        </w:rPr>
        <w:t xml:space="preserve"> → operator_id (от поставщика или по номеру).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Дробление источника</w:t>
      </w:r>
      <w:r>
        <w:rPr>
          <w:b w:val="false"/>
          <w:bCs w:val="false"/>
          <w:color w:val="222222"/>
          <w:sz w:val="19"/>
          <w:szCs w:val="19"/>
        </w:rPr>
        <w:t xml:space="preserve"> → source_droblenie (source_id + operator_id → pod_source_id). Особый кейс ВОНТРЕЗАЛТ: условие Теги_СК="Подтвержден КЦ".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Chance Generation (144):</w:t>
      </w:r>
      <w:r>
        <w:rPr>
          <w:b w:val="false"/>
          <w:bCs w:val="false"/>
          <w:color w:val="222222"/>
          <w:sz w:val="19"/>
          <w:szCs w:val="19"/>
        </w:rPr>
        <w:t xml:space="preserve"> project_num = TITLE строки.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Каскад региона</w:t>
      </w:r>
      <w:r>
        <w:rPr>
          <w:b w:val="false"/>
          <w:bCs w:val="false"/>
          <w:color w:val="222222"/>
          <w:sz w:val="19"/>
          <w:szCs w:val="19"/>
        </w:rPr>
        <w:t xml:space="preserve"> → ADDRESS_REGION → внешний провайдер → NULL.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Метки источника</w:t>
      </w:r>
      <w:r>
        <w:rPr>
          <w:b w:val="false"/>
          <w:bCs w:val="false"/>
          <w:color w:val="222222"/>
          <w:sz w:val="19"/>
          <w:szCs w:val="19"/>
        </w:rPr>
        <w:t xml:space="preserve"> → source.metka_holodnaya, metka_kakaya по итоговому source_id.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НХ подтверждённые:</w:t>
      </w:r>
      <w:r>
        <w:rPr>
          <w:b w:val="false"/>
          <w:bCs w:val="false"/>
          <w:color w:val="222222"/>
          <w:sz w:val="19"/>
          <w:szCs w:val="19"/>
        </w:rPr>
        <w:t xml:space="preserve"> WebID="БФЛ (подтв.)" + source=UC_6VTLIR → pod_source_id=UC_NF10L4.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Дедупликация (Заря)</w:t>
      </w:r>
      <w:r>
        <w:rPr>
          <w:b w:val="false"/>
          <w:bCs w:val="false"/>
          <w:color w:val="222222"/>
          <w:sz w:val="19"/>
          <w:szCs w:val="19"/>
        </w:rPr>
        <w:t xml:space="preserve"> → INSERT dedup_result. Тип ответа уточнить у Вовы.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Маршрутизация партнёрам</w:t>
      </w:r>
      <w:r>
        <w:rPr>
          <w:b w:val="false"/>
          <w:bCs w:val="false"/>
          <w:color w:val="222222"/>
          <w:sz w:val="19"/>
          <w:szCs w:val="19"/>
        </w:rPr>
        <w:t xml:space="preserve"> → source_upk + region + результат Зари → dispatch(kanal=2).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Отправка в Скорозвон</w:t>
      </w:r>
      <w:r>
        <w:rPr>
          <w:b w:val="false"/>
          <w:bCs w:val="false"/>
          <w:color w:val="222222"/>
          <w:sz w:val="19"/>
          <w:szCs w:val="19"/>
        </w:rPr>
        <w:t xml:space="preserve"> → createSkorozvonLead + assignToProject → dispatch(kanal=1), status=3.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После webhook (status=4):</w:t>
      </w:r>
      <w:r>
        <w:rPr>
          <w:b w:val="false"/>
          <w:bCs w:val="false"/>
          <w:color w:val="222222"/>
          <w:sz w:val="19"/>
          <w:szCs w:val="19"/>
        </w:rPr>
        <w:t xml:space="preserve"> createBitrixLead → dispatch(kanal=3), status=5.</w:t>
      </w:r>
    </w:p>
    <w:p>
      <w:pPr>
        <w:spacing w:after="60"/>
      </w:pPr>
    </w:p>
    <w:p>
      <w:pPr>
        <w:pBdr>
          <w:top w:val="single" w:color="FFF8E7" w:sz="2" w:space="6"/>
          <w:bottom w:val="single" w:color="FFF8E7" w:sz="2" w:space="6"/>
          <w:left w:val="single" w:color="C0932E" w:sz="18" w:space="10"/>
          <w:right w:val="single" w:color="FFF8E7" w:sz="2" w:space="6"/>
        </w:pBdr>
        <w:shd w:fill="FFF8E7" w:val="clear"/>
        <w:spacing w:after="120" w:before="60" w:line="268"/>
      </w:pPr>
      <w:r>
        <w:rPr>
          <w:b w:val="false"/>
          <w:bCs w:val="false"/>
          <w:color w:val="222222"/>
          <w:sz w:val="19"/>
          <w:szCs w:val="19"/>
        </w:rPr>
        <w:t xml:space="preserve">Шаги 9 и 10 могут выполняться параллельно (горутины). Каждый канал пишет свою запись в dispatch.</w:t>
      </w:r>
    </w:p>
    <w:p>
      <w:pPr>
        <w:pBdr>
          <w:top w:val="single" w:color="FFEBEE" w:sz="2" w:space="6"/>
          <w:bottom w:val="single" w:color="FFEBEE" w:sz="2" w:space="6"/>
          <w:left w:val="single" w:color="CC0000" w:sz="18" w:space="10"/>
          <w:right w:val="single" w:color="FFEBEE" w:sz="2" w:space="6"/>
        </w:pBdr>
        <w:shd w:fill="FFEBEE" w:val="clear"/>
        <w:spacing w:after="120" w:before="60" w:line="268"/>
      </w:pPr>
      <w:r>
        <w:rPr>
          <w:b w:val="false"/>
          <w:bCs w:val="false"/>
          <w:color w:val="222222"/>
          <w:sz w:val="19"/>
          <w:szCs w:val="19"/>
        </w:rPr>
        <w:t xml:space="preserve">Логика роутинга (стоп-источники, регионы медиапланов) — на согласовании с DMP. До согласования реализацию маршрутизации не начинать.</w:t>
      </w:r>
    </w:p>
    <w:p>
      <w:pPr>
        <w:spacing w:after="80"/>
      </w:pPr>
    </w:p>
    <w:p>
      <w:pPr>
        <w:keepNext/>
        <w:spacing w:after="140" w:before="360"/>
      </w:pPr>
      <w:r>
        <w:rPr>
          <w:b/>
          <w:bCs/>
          <w:color w:val="12283C"/>
          <w:sz w:val="28"/>
          <w:szCs w:val="28"/>
        </w:rPr>
        <w:t xml:space="preserve">7. Интеграция со Скорозвоном</w:t>
      </w:r>
    </w:p>
    <w:p>
      <w:pPr>
        <w:spacing w:after="100" w:line="268"/>
      </w:pPr>
      <w:r>
        <w:rPr>
          <w:b w:val="false"/>
          <w:bCs w:val="false"/>
          <w:color w:val="222222"/>
          <w:sz w:val="19"/>
          <w:szCs w:val="19"/>
        </w:rPr>
        <w:t xml:space="preserve">Полное описание — Методы 2, 3, 4 в «Методы API DMP».</w:t>
      </w: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7.1 Отправка на обзвон (Worker → Скорозвон)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POST /api/v2/leads: firm_name, phones=строка (не массив), external_id=uuid. Создаёт OrganizationLead.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POST /assign_leads: lead_ids=array&lt;integer&gt;. Ответ — пустой 200 OK (асинхронно).</w:t>
      </w: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7.2 Приём исхода (Скорозвон → API)</w:t>
      </w:r>
    </w:p>
    <w:p>
      <w:pPr>
        <w:spacing w:after="100" w:line="268"/>
      </w:pPr>
      <w:r>
        <w:rPr>
          <w:b w:val="false"/>
          <w:bCs w:val="false"/>
          <w:color w:val="222222"/>
          <w:sz w:val="19"/>
          <w:szCs w:val="19"/>
        </w:rPr>
        <w:t xml:space="preserve">Единый endpoint /webhook/skorozvon. Роутинг по type. </w:t>
      </w:r>
      <w:r>
        <w:rPr>
          <w:b/>
          <w:bCs/>
          <w:color w:val="222222"/>
          <w:sz w:val="19"/>
          <w:szCs w:val="19"/>
        </w:rPr>
        <w:t xml:space="preserve">Обрабатывает API напрямую.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call_result</w:t>
      </w:r>
      <w:r>
        <w:rPr>
          <w:b w:val="false"/>
          <w:bCs w:val="false"/>
          <w:color w:val="222222"/>
          <w:sz w:val="19"/>
          <w:szCs w:val="19"/>
        </w:rPr>
        <w:t xml:space="preserve"> → UPDATE call_id, call_url, call_last_at, call_result, project_num. status=4.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form_response</w:t>
      </w:r>
      <w:r>
        <w:rPr>
          <w:b w:val="false"/>
          <w:bCs w:val="false"/>
          <w:color w:val="222222"/>
          <w:sz w:val="19"/>
          <w:szCs w:val="19"/>
        </w:rPr>
        <w:t xml:space="preserve"> → нормализация answers → call_form jsonb + lead_row.city из call_form.gorod.</w:t>
      </w:r>
    </w:p>
    <w:p>
      <w:pPr>
        <w:pBdr>
          <w:top w:val="single" w:color="FFEBEE" w:sz="2" w:space="6"/>
          <w:bottom w:val="single" w:color="FFEBEE" w:sz="2" w:space="6"/>
          <w:left w:val="single" w:color="CC0000" w:sz="18" w:space="10"/>
          <w:right w:val="single" w:color="FFEBEE" w:sz="2" w:space="6"/>
        </w:pBdr>
        <w:shd w:fill="FFEBEE" w:val="clear"/>
        <w:spacing w:after="120" w:before="60" w:line="268"/>
      </w:pPr>
      <w:r>
        <w:rPr>
          <w:b w:val="false"/>
          <w:bCs w:val="false"/>
          <w:color w:val="222222"/>
          <w:sz w:val="19"/>
          <w:szCs w:val="19"/>
        </w:rPr>
        <w:t xml:space="preserve">Скорозвон: 5 ретраев (5м/30м/1ч/3ч/6ч), отключение при 50+ ошибках. Нельзя возвращать 4xx без причины.</w:t>
      </w:r>
    </w:p>
    <w:p>
      <w:pPr>
        <w:spacing w:after="80"/>
      </w:pPr>
    </w:p>
    <w:p>
      <w:pPr>
        <w:keepNext/>
        <w:spacing w:after="140" w:before="360"/>
      </w:pPr>
      <w:r>
        <w:rPr>
          <w:b/>
          <w:bCs/>
          <w:color w:val="12283C"/>
          <w:sz w:val="28"/>
          <w:szCs w:val="28"/>
        </w:rPr>
        <w:t xml:space="preserve">8. Партнёрские отправки</w:t>
      </w:r>
    </w:p>
    <w:p>
      <w:pPr>
        <w:spacing w:after="100" w:line="268"/>
      </w:pPr>
      <w:r>
        <w:rPr>
          <w:b w:val="false"/>
          <w:bCs w:val="false"/>
          <w:color w:val="222222"/>
          <w:sz w:val="19"/>
          <w:szCs w:val="19"/>
        </w:rPr>
        <w:t xml:space="preserve">Полное описание — Метод 5 в «Методы API DMP».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Покупатели: РТ, КР, ББ. Стоп-источники: ТОЛЧЕНОВ (не → РТ), UC_ZWIQ5R (не → партнёры вообще).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Дедуп по номеру телефона: upk.dedup_days (настраивается на покупателя). NULL = без ограничений.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Каждая отправка → dispatch(kanal=2, upk_id). Ретрай при ошибке.</w:t>
      </w:r>
    </w:p>
    <w:p>
      <w:pPr>
        <w:spacing w:after="80"/>
      </w:pPr>
    </w:p>
    <w:p>
      <w:pPr>
        <w:keepNext/>
        <w:spacing w:after="140" w:before="360"/>
      </w:pPr>
      <w:r>
        <w:rPr>
          <w:b/>
          <w:bCs/>
          <w:color w:val="12283C"/>
          <w:sz w:val="28"/>
          <w:szCs w:val="28"/>
        </w:rPr>
        <w:t xml:space="preserve">9. Передача лида в Битрикс</w:t>
      </w:r>
    </w:p>
    <w:p>
      <w:pPr>
        <w:spacing w:after="100" w:line="268"/>
      </w:pPr>
      <w:r>
        <w:rPr>
          <w:b w:val="false"/>
          <w:bCs w:val="false"/>
          <w:color w:val="222222"/>
          <w:sz w:val="19"/>
          <w:szCs w:val="19"/>
        </w:rPr>
        <w:t xml:space="preserve">Полное описание — Метод 6 в «Методы API DMP».</w:t>
      </w: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9.1 Условие передачи</w:t>
      </w:r>
    </w:p>
    <w:p>
      <w:pPr>
        <w:spacing w:after="100" w:line="268"/>
      </w:pPr>
      <w:r>
        <w:rPr>
          <w:b w:val="false"/>
          <w:bCs w:val="false"/>
          <w:color w:val="222222"/>
          <w:sz w:val="19"/>
          <w:szCs w:val="19"/>
        </w:rPr>
        <w:t xml:space="preserve">Worker вызывает после получения webhook (status=4). Решение о квалификации принял оператор в Скорозвоне.</w:t>
      </w: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9.2 Формат COMMENTS (из bp33)</w:t>
      </w:r>
    </w:p>
    <w:p>
      <w:pPr>
        <w:pBdr>
          <w:left w:val="single" w:color="999999" w:sz="12" w:space="8"/>
        </w:pBdr>
        <w:shd w:fill="F4F4F4" w:val="clear"/>
        <w:spacing w:after="100" w:before="4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Имя клиента - {imya}
Регион - {region.nazvanie}
Город - {city}
Сумма долга - {summa_dolga}
Вид долга - {vid_dolga}
Имущество - {imuschestvo}
Доход - {dohod}
Другая информация о клиенте - {bankrotstvo} + {zalog} [уточнить у DMP]</w:t>
      </w:r>
    </w:p>
    <w:p>
      <w:pPr>
        <w:pBdr>
          <w:top w:val="single" w:color="FFEBEE" w:sz="2" w:space="6"/>
          <w:bottom w:val="single" w:color="FFEBEE" w:sz="2" w:space="6"/>
          <w:left w:val="single" w:color="CC0000" w:sz="18" w:space="10"/>
          <w:right w:val="single" w:color="FFEBEE" w:sz="2" w:space="6"/>
        </w:pBdr>
        <w:shd w:fill="FFEBEE" w:val="clear"/>
        <w:spacing w:after="120" w:before="60" w:line="268"/>
      </w:pPr>
      <w:r>
        <w:rPr>
          <w:b w:val="false"/>
          <w:bCs w:val="false"/>
          <w:color w:val="222222"/>
          <w:sz w:val="19"/>
          <w:szCs w:val="19"/>
        </w:rPr>
        <w:t xml:space="preserve">Код стадии Распределитель (STATUS_ID) — уточнить у Дани. Поле "Другая информация" — уточнить у DMP.</w:t>
      </w:r>
    </w:p>
    <w:p>
      <w:pPr>
        <w:spacing w:after="80"/>
      </w:pPr>
    </w:p>
    <w:p>
      <w:pPr>
        <w:keepNext/>
        <w:spacing w:after="140" w:before="360"/>
      </w:pPr>
      <w:r>
        <w:rPr>
          <w:b/>
          <w:bCs/>
          <w:color w:val="12283C"/>
          <w:sz w:val="28"/>
          <w:szCs w:val="28"/>
        </w:rPr>
        <w:t xml:space="preserve">10. Конфигуратор источников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00"/>
        <w:gridCol w:w="2000"/>
      </w:tblGrid>
      <w:tr>
        <w:tc>
          <w:tcPr>
            <w:tcW w:type="dxa" w:w="16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Уровень</w:t>
            </w:r>
          </w:p>
        </w:tc>
        <w:tc>
          <w:tcPr>
            <w:tcW w:type="dxa" w:w="56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Что настраивается</w:t>
            </w:r>
          </w:p>
        </w:tc>
        <w:tc>
          <w:tcPr>
            <w:tcW w:type="dxa" w:w="20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Статус</w:t>
            </w:r>
          </w:p>
        </w:tc>
      </w:tr>
      <w:tr>
        <w:tc>
          <w:tcPr>
            <w:tcW w:type="dxa" w:w="16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6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Метки источника, токен, aktiven (вкл/выкл)</w:t>
            </w:r>
          </w:p>
        </w:tc>
        <w:tc>
          <w:tcPr>
            <w:tcW w:type="dxa" w:w="20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Реализуется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56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Дробление (source_droblenie), партнёры (source_upk), проекты СК (source_skorozvon)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Реализуется</w:t>
            </w:r>
          </w:p>
        </w:tc>
      </w:tr>
      <w:tr>
        <w:tc>
          <w:tcPr>
            <w:tcW w:type="dxa" w:w="16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56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Визуальный редактор произвольных правил</w:t>
            </w:r>
          </w:p>
        </w:tc>
        <w:tc>
          <w:tcPr>
            <w:tcW w:type="dxa" w:w="20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Бэклог — решение после согласования с бизнесом</w:t>
            </w:r>
          </w:p>
        </w:tc>
      </w:tr>
    </w:tbl>
    <w:p>
      <w:pPr>
        <w:spacing w:after="80"/>
      </w:pPr>
    </w:p>
    <w:p>
      <w:pPr>
        <w:keepNext/>
        <w:spacing w:after="140" w:before="360"/>
      </w:pPr>
      <w:r>
        <w:rPr>
          <w:b/>
          <w:bCs/>
          <w:color w:val="12283C"/>
          <w:sz w:val="28"/>
          <w:szCs w:val="28"/>
        </w:rPr>
        <w:t xml:space="preserve">11. Архивация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archived_at IS NULL = активная строка. archived_at IS NOT NULL = архивирована.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Строки старше 3 мес → тяжёлые поля очищаются, данные выгружены в S3 по syrye_key.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Лиды (status=5) не архивируются — остаются в Postgres навсегда.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Скелет (id, uuid, phone, source_id, status_id, created_at, syrye_key) хранится вечно.</w:t>
      </w:r>
    </w:p>
    <w:p>
      <w:pPr>
        <w:spacing w:after="80"/>
      </w:pPr>
    </w:p>
    <w:p>
      <w:pPr>
        <w:keepNext/>
        <w:spacing w:after="140" w:before="360"/>
      </w:pPr>
      <w:r>
        <w:rPr>
          <w:b/>
          <w:bCs/>
          <w:color w:val="12283C"/>
          <w:sz w:val="28"/>
          <w:szCs w:val="28"/>
        </w:rPr>
        <w:t xml:space="preserve">12. Физическая модель данных</w:t>
      </w:r>
    </w:p>
    <w:p>
      <w:pPr>
        <w:spacing w:after="100" w:line="268"/>
      </w:pPr>
      <w:r>
        <w:rPr>
          <w:b w:val="false"/>
          <w:bCs w:val="false"/>
          <w:color w:val="222222"/>
          <w:sz w:val="19"/>
          <w:szCs w:val="19"/>
        </w:rPr>
        <w:t xml:space="preserve">Полная модель — документ «Физмодель финал» (DBML v3 + описание для разработчика).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Группа</w:t>
            </w:r>
          </w:p>
        </w:tc>
        <w:tc>
          <w:tcPr>
            <w:tcW w:type="dxa" w:w="68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Таблицы</w:t>
            </w:r>
          </w:p>
        </w:tc>
      </w:tr>
      <w:tr>
        <w:tc>
          <w:tcPr>
            <w:tcW w:type="dxa" w:w="24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Ядро</w:t>
            </w:r>
          </w:p>
        </w:tc>
        <w:tc>
          <w:tcPr>
            <w:tcW w:type="dxa" w:w="68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lead_row (24 поля), dispatch, event, dedup_result, outbox (+source_id)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Источники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source (-podtverzhdyon), source_droblenie, source_upk, source_skorozvon</w:t>
            </w:r>
          </w:p>
        </w:tc>
      </w:tr>
      <w:tr>
        <w:tc>
          <w:tcPr>
            <w:tcW w:type="dxa" w:w="24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Бизнес-справочники</w:t>
            </w:r>
          </w:p>
        </w:tc>
        <w:tc>
          <w:tcPr>
            <w:tcW w:type="dxa" w:w="68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upk (+dedup_days), region, operator, dedup_provider, dedup_value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Системные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status (7), kanal (3), event_type (8)</w:t>
            </w:r>
          </w:p>
        </w:tc>
      </w:tr>
    </w:tbl>
    <w:p>
      <w:pPr>
        <w:spacing w:after="80"/>
      </w:pPr>
    </w:p>
    <w:p>
      <w:pPr>
        <w:keepNext/>
        <w:spacing w:after="140" w:before="360"/>
      </w:pPr>
      <w:r>
        <w:rPr>
          <w:b/>
          <w:bCs/>
          <w:color w:val="12283C"/>
          <w:sz w:val="28"/>
          <w:szCs w:val="28"/>
        </w:rPr>
        <w:t xml:space="preserve">13. Инфраструктура и деплой</w:t>
      </w: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13.1 Окружения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Окружение</w:t>
            </w:r>
          </w:p>
        </w:tc>
        <w:tc>
          <w:tcPr>
            <w:tcW w:type="dxa" w:w="68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Назначение</w:t>
            </w:r>
          </w:p>
        </w:tc>
      </w:tr>
      <w:tr>
        <w:tc>
          <w:tcPr>
            <w:tcW w:type="dxa" w:w="24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dev</w:t>
            </w:r>
          </w:p>
        </w:tc>
        <w:tc>
          <w:tcPr>
            <w:tcW w:type="dxa" w:w="68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Разработка и отладка. Тестовые источники, песочница Скорозвона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prod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Боевое окружение</w:t>
            </w:r>
          </w:p>
        </w:tc>
      </w:tr>
    </w:tbl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13.2 Компоненты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PostgreSQL</w:t>
      </w:r>
      <w:r>
        <w:rPr>
          <w:b w:val="false"/>
          <w:bCs w:val="false"/>
          <w:color w:val="222222"/>
          <w:sz w:val="19"/>
          <w:szCs w:val="19"/>
        </w:rPr>
        <w:t xml:space="preserve"> — основная БД. Бэкапы с проверкой восстановления.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S3 / MinIO</w:t>
      </w:r>
      <w:r>
        <w:rPr>
          <w:b w:val="false"/>
          <w:bCs w:val="false"/>
          <w:color w:val="222222"/>
          <w:sz w:val="19"/>
          <w:szCs w:val="19"/>
        </w:rPr>
        <w:t xml:space="preserve"> — bucket для сырья и архива.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Redis</w:t>
      </w:r>
      <w:r>
        <w:rPr>
          <w:b w:val="false"/>
          <w:bCs w:val="false"/>
          <w:color w:val="222222"/>
          <w:sz w:val="19"/>
          <w:szCs w:val="19"/>
        </w:rPr>
        <w:t xml:space="preserve"> — идемпотентность (web_id, Idempotency-Key), кэш региона.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Go-сервисы</w:t>
      </w:r>
      <w:r>
        <w:rPr>
          <w:b w:val="false"/>
          <w:bCs w:val="false"/>
          <w:color w:val="222222"/>
          <w:sz w:val="19"/>
          <w:szCs w:val="19"/>
        </w:rPr>
        <w:t xml:space="preserve"> — API, Outbox Reader, Worker. Каждый масштабируется независимо.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RabbitMQ</w:t>
      </w:r>
      <w:r>
        <w:rPr>
          <w:b w:val="false"/>
          <w:bCs w:val="false"/>
          <w:color w:val="222222"/>
          <w:sz w:val="19"/>
          <w:szCs w:val="19"/>
        </w:rPr>
        <w:t xml:space="preserve"> — не используется в v1. Добавить при росте объёмов до 150k+ строк/сутки.</w:t>
      </w: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13.3 Переключение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Поставщики — меняют только домен. Токены и формат запроса без изменений.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 w:val="false"/>
          <w:bCs w:val="false"/>
          <w:color w:val="222222"/>
          <w:sz w:val="19"/>
          <w:szCs w:val="19"/>
        </w:rPr>
        <w:t xml:space="preserve">Скорозвон — новый webhook endpoint (настраивается в личном кабинете СК).</w:t>
      </w:r>
    </w:p>
    <w:p>
      <w:pPr>
        <w:spacing w:after="80"/>
      </w:pPr>
    </w:p>
    <w:p>
      <w:pPr>
        <w:keepNext/>
        <w:spacing w:after="140" w:before="360"/>
      </w:pPr>
      <w:r>
        <w:rPr>
          <w:b/>
          <w:bCs/>
          <w:color w:val="12283C"/>
          <w:sz w:val="28"/>
          <w:szCs w:val="28"/>
        </w:rPr>
        <w:t xml:space="preserve">14. Открытые вопросы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600"/>
      </w:tblGrid>
      <w:tr>
        <w:tc>
          <w:tcPr>
            <w:tcW w:type="dxa" w:w="36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Вопрос</w:t>
            </w:r>
          </w:p>
        </w:tc>
        <w:tc>
          <w:tcPr>
            <w:tcW w:type="dxa" w:w="20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Кому</w:t>
            </w:r>
          </w:p>
        </w:tc>
        <w:tc>
          <w:tcPr>
            <w:tcW w:type="dxa" w:w="36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Влияние</w:t>
            </w:r>
          </w:p>
        </w:tc>
      </w:tr>
      <w:tr>
        <w:tc>
          <w:tcPr>
            <w:tcW w:type="dxa" w:w="36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Заря: старый (градации) или новый (true/false) чекер</w:t>
            </w:r>
          </w:p>
        </w:tc>
        <w:tc>
          <w:tcPr>
            <w:tcW w:type="dxa" w:w="20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Вова</w:t>
            </w:r>
          </w:p>
        </w:tc>
        <w:tc>
          <w:tcPr>
            <w:tcW w:type="dxa" w:w="36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Значения dedup_value, логика маршрутизации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Логика роутинга (стоп-источники, регионы медиапланов)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Вова / Даня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Реализация маршрутизации в Worker</w:t>
            </w:r>
          </w:p>
        </w:tc>
      </w:tr>
      <w:tr>
        <w:tc>
          <w:tcPr>
            <w:tcW w:type="dxa" w:w="36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Код стадии Распределитель (STATUS_ID) в Bitrix</w:t>
            </w:r>
          </w:p>
        </w:tc>
        <w:tc>
          <w:tcPr>
            <w:tcW w:type="dxa" w:w="20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Даня</w:t>
            </w:r>
          </w:p>
        </w:tc>
        <w:tc>
          <w:tcPr>
            <w:tcW w:type="dxa" w:w="36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Метод 6 (createBitrixLead)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Поле "Другая информация" в COMMENTS (bp33)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Даня / Вова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Формат COMMENTS для Метода 6</w:t>
            </w:r>
          </w:p>
        </w:tc>
      </w:tr>
    </w:tbl>
    <w:p>
      <w:pPr>
        <w:spacing w:after="120"/>
      </w:pPr>
    </w:p>
    <w:p>
      <w:pPr>
        <w:pBdr>
          <w:top w:val="single" w:color="FFF8E7" w:sz="2" w:space="6"/>
          <w:bottom w:val="single" w:color="FFF8E7" w:sz="2" w:space="6"/>
          <w:left w:val="single" w:color="C0932E" w:sz="18" w:space="10"/>
          <w:right w:val="single" w:color="FFF8E7" w:sz="2" w:space="6"/>
        </w:pBdr>
        <w:shd w:fill="FFF8E7" w:val="clear"/>
        <w:spacing w:after="120" w:before="60" w:line="268"/>
      </w:pPr>
      <w:r>
        <w:rPr>
          <w:b w:val="false"/>
          <w:bCs w:val="false"/>
          <w:color w:val="222222"/>
          <w:sz w:val="19"/>
          <w:szCs w:val="19"/>
        </w:rPr>
        <w:t xml:space="preserve">Открытые вопросы не блокируют старт разработки API и Worker (обогащение). Блокируют только реализацию маршрутизации (шаг 9-10 Worker) и Метод 6.</w:t>
      </w:r>
    </w:p>
    <w:p>
      <w:r>
        <w:br w:type="page"/>
      </w:r>
    </w:p>
    <w:p>
      <w:pPr>
        <w:keepNext/>
        <w:spacing w:after="140" w:before="360"/>
      </w:pPr>
      <w:r>
        <w:rPr>
          <w:b/>
          <w:bCs/>
          <w:color w:val="12283C"/>
          <w:sz w:val="28"/>
          <w:szCs w:val="28"/>
        </w:rPr>
        <w:t xml:space="preserve">Приложение А. Сводная таблица методов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600"/>
        <w:gridCol w:w="4500"/>
      </w:tblGrid>
      <w:tr>
        <w:tc>
          <w:tcPr>
            <w:tcW w:type="dxa" w:w="5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26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Метод</w:t>
            </w:r>
          </w:p>
        </w:tc>
        <w:tc>
          <w:tcPr>
            <w:tcW w:type="dxa" w:w="16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Тип</w:t>
            </w:r>
          </w:p>
        </w:tc>
        <w:tc>
          <w:tcPr>
            <w:tcW w:type="dxa" w:w="4500"/>
            <w:shd w:fill="1A3A5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Назначение</w:t>
            </w:r>
          </w:p>
        </w:tc>
      </w:tr>
      <w:tr>
        <w:tc>
          <w:tcPr>
            <w:tcW w:type="dxa" w:w="5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receiveLead</w:t>
            </w:r>
          </w:p>
        </w:tc>
        <w:tc>
          <w:tcPr>
            <w:tcW w:type="dxa" w:w="16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Входящий (API)</w:t>
            </w:r>
          </w:p>
        </w:tc>
        <w:tc>
          <w:tcPr>
            <w:tcW w:type="dxa" w:w="45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Приём строки от поставщика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receiveWebhook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Входящий (API)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Webhook от Скорозвона (call_result + form_response)</w:t>
            </w:r>
          </w:p>
        </w:tc>
      </w:tr>
      <w:tr>
        <w:tc>
          <w:tcPr>
            <w:tcW w:type="dxa" w:w="5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createSkorozvonLead</w:t>
            </w:r>
          </w:p>
        </w:tc>
        <w:tc>
          <w:tcPr>
            <w:tcW w:type="dxa" w:w="16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Исходящий (Worker)</w:t>
            </w:r>
          </w:p>
        </w:tc>
        <w:tc>
          <w:tcPr>
            <w:tcW w:type="dxa" w:w="45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Создание организации в Скорозвоне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assignToProject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Исходящий (Worker)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Добавление строки в проект обзвона</w:t>
            </w:r>
          </w:p>
        </w:tc>
      </w:tr>
      <w:tr>
        <w:tc>
          <w:tcPr>
            <w:tcW w:type="dxa" w:w="5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sendToPartner</w:t>
            </w:r>
          </w:p>
        </w:tc>
        <w:tc>
          <w:tcPr>
            <w:tcW w:type="dxa" w:w="16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Исходящий (Worker)</w:t>
            </w:r>
          </w:p>
        </w:tc>
        <w:tc>
          <w:tcPr>
            <w:tcW w:type="dxa" w:w="4500"/>
            <w:shd w:fill="F7F9FC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Отправка дубля покупателю (ЮПК)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createBitrixLead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Исходящий (Worker)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Передача квалифицированного лида в Битрикс</w:t>
            </w:r>
          </w:p>
        </w:tc>
      </w:tr>
    </w:tbl>
    <w:p>
      <w:pPr>
        <w:spacing w:after="160"/>
      </w:pPr>
    </w:p>
    <w:p>
      <w:pPr>
        <w:keepNext/>
        <w:shd w:fill="EEF2F7" w:val="clear"/>
        <w:spacing w:after="90" w:before="240"/>
      </w:pPr>
      <w:r>
        <w:rPr>
          <w:b/>
          <w:bCs/>
          <w:color w:val="1A3A5C"/>
          <w:sz w:val="22"/>
          <w:szCs w:val="22"/>
        </w:rPr>
        <w:t xml:space="preserve">Связанные документы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Методы API DMP v3</w:t>
      </w:r>
      <w:r>
        <w:rPr>
          <w:b w:val="false"/>
          <w:bCs w:val="false"/>
          <w:color w:val="222222"/>
          <w:sz w:val="19"/>
          <w:szCs w:val="19"/>
        </w:rPr>
        <w:t xml:space="preserve"> — детальное описание 6 методов.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Физмодель финал v3</w:t>
      </w:r>
      <w:r>
        <w:rPr>
          <w:b w:val="false"/>
          <w:bCs w:val="false"/>
          <w:color w:val="222222"/>
          <w:sz w:val="19"/>
          <w:szCs w:val="19"/>
        </w:rPr>
        <w:t xml:space="preserve"> — DBML + описание таблиц.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Логика обработки строки</w:t>
      </w:r>
      <w:r>
        <w:rPr>
          <w:b w:val="false"/>
          <w:bCs w:val="false"/>
          <w:color w:val="222222"/>
          <w:sz w:val="19"/>
          <w:szCs w:val="19"/>
        </w:rPr>
        <w:t xml:space="preserve"> — алгоритм Worker, сверен с bp27/28/38.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ТЗ на миграцию DMP</w:t>
      </w:r>
      <w:r>
        <w:rPr>
          <w:b w:val="false"/>
          <w:bCs w:val="false"/>
          <w:color w:val="222222"/>
          <w:sz w:val="19"/>
          <w:szCs w:val="19"/>
        </w:rPr>
        <w:t xml:space="preserve"> — перенос исторических данных из Bitrix.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  <w:color w:val="222222"/>
          <w:sz w:val="19"/>
          <w:szCs w:val="19"/>
        </w:rPr>
        <w:t xml:space="preserve">Sequence diagram v3</w:t>
      </w:r>
      <w:r>
        <w:rPr>
          <w:b w:val="false"/>
          <w:bCs w:val="false"/>
          <w:color w:val="222222"/>
          <w:sz w:val="19"/>
          <w:szCs w:val="19"/>
        </w:rPr>
        <w:t xml:space="preserve"> — схема потока строки (drawio).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Сервис строчек DMP v2</dc:title>
  <dc:creator>SodaTech</dc:creator>
  <cp:lastModifiedBy>Un-named</cp:lastModifiedBy>
  <cp:revision>1</cp:revision>
  <dcterms:created xsi:type="dcterms:W3CDTF">2026-08-18T03:04:08.804Z</dcterms:created>
  <dcterms:modified xsi:type="dcterms:W3CDTF">2026-08-18T03:04:08.818Z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