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CB7F8" w14:textId="77777777" w:rsidR="00A75688" w:rsidRPr="00A75688" w:rsidRDefault="00A75688" w:rsidP="00A75688">
      <w:pPr>
        <w:spacing w:line="276" w:lineRule="auto"/>
        <w:rPr>
          <w:rFonts w:ascii="Arial" w:eastAsia="Arial" w:hAnsi="Arial" w:cs="Arial"/>
          <w:sz w:val="22"/>
          <w:szCs w:val="22"/>
          <w:lang w:val="en"/>
        </w:rPr>
      </w:pPr>
      <w:r w:rsidRPr="00A75688">
        <w:rPr>
          <w:rFonts w:ascii="Arial" w:eastAsia="Arial" w:hAnsi="Arial" w:cs="Arial"/>
          <w:b/>
          <w:sz w:val="22"/>
          <w:szCs w:val="22"/>
          <w:lang w:val="en"/>
        </w:rPr>
        <w:t>Overall</w:t>
      </w:r>
    </w:p>
    <w:p w14:paraId="691A91AA" w14:textId="77777777" w:rsidR="00A75688" w:rsidRPr="00A75688" w:rsidRDefault="00A75688" w:rsidP="00A75688">
      <w:pPr>
        <w:numPr>
          <w:ilvl w:val="0"/>
          <w:numId w:val="15"/>
        </w:numPr>
        <w:spacing w:line="276" w:lineRule="auto"/>
        <w:rPr>
          <w:rFonts w:ascii="Arial" w:eastAsia="Arial" w:hAnsi="Arial" w:cs="Arial"/>
          <w:sz w:val="22"/>
          <w:szCs w:val="22"/>
          <w:lang w:val="en"/>
        </w:rPr>
      </w:pPr>
      <w:r w:rsidRPr="00A75688">
        <w:rPr>
          <w:rFonts w:ascii="Arial" w:eastAsia="Arial" w:hAnsi="Arial" w:cs="Arial"/>
          <w:sz w:val="22"/>
          <w:szCs w:val="22"/>
          <w:lang w:val="en"/>
        </w:rPr>
        <w:t xml:space="preserve">Formatting is free of obvious errors (equations, latex, margins, </w:t>
      </w:r>
      <w:proofErr w:type="gramStart"/>
      <w:r w:rsidRPr="00A75688">
        <w:rPr>
          <w:rFonts w:ascii="Arial" w:eastAsia="Arial" w:hAnsi="Arial" w:cs="Arial"/>
          <w:sz w:val="22"/>
          <w:szCs w:val="22"/>
          <w:lang w:val="en"/>
        </w:rPr>
        <w:t>etc..</w:t>
      </w:r>
      <w:proofErr w:type="gramEnd"/>
      <w:r w:rsidRPr="00A75688">
        <w:rPr>
          <w:rFonts w:ascii="Arial" w:eastAsia="Arial" w:hAnsi="Arial" w:cs="Arial"/>
          <w:sz w:val="22"/>
          <w:szCs w:val="22"/>
          <w:lang w:val="en"/>
        </w:rPr>
        <w:t>)</w:t>
      </w:r>
    </w:p>
    <w:p w14:paraId="3B53082A" w14:textId="77777777" w:rsidR="00A75688" w:rsidRPr="00A75688" w:rsidRDefault="00A75688" w:rsidP="00A75688">
      <w:pPr>
        <w:numPr>
          <w:ilvl w:val="0"/>
          <w:numId w:val="15"/>
        </w:numPr>
        <w:spacing w:line="276" w:lineRule="auto"/>
        <w:rPr>
          <w:rFonts w:ascii="Arial" w:eastAsia="Arial" w:hAnsi="Arial" w:cs="Arial"/>
          <w:sz w:val="22"/>
          <w:szCs w:val="22"/>
          <w:lang w:val="en"/>
        </w:rPr>
      </w:pPr>
      <w:r w:rsidRPr="00A75688">
        <w:rPr>
          <w:rFonts w:ascii="Arial" w:eastAsia="Arial" w:hAnsi="Arial" w:cs="Arial"/>
          <w:sz w:val="22"/>
          <w:szCs w:val="22"/>
          <w:lang w:val="en"/>
        </w:rPr>
        <w:t>Report is submitted on time</w:t>
      </w:r>
    </w:p>
    <w:p w14:paraId="7B6D1230" w14:textId="77777777" w:rsidR="00A75688" w:rsidRPr="00A75688" w:rsidRDefault="00A75688" w:rsidP="00A75688">
      <w:pPr>
        <w:numPr>
          <w:ilvl w:val="0"/>
          <w:numId w:val="15"/>
        </w:numPr>
        <w:spacing w:line="276" w:lineRule="auto"/>
        <w:rPr>
          <w:rFonts w:ascii="Arial" w:eastAsia="Arial" w:hAnsi="Arial" w:cs="Arial"/>
          <w:sz w:val="22"/>
          <w:szCs w:val="22"/>
          <w:lang w:val="en"/>
        </w:rPr>
      </w:pPr>
      <w:r w:rsidRPr="00A75688">
        <w:rPr>
          <w:rFonts w:ascii="Arial" w:eastAsia="Arial" w:hAnsi="Arial" w:cs="Arial"/>
          <w:sz w:val="22"/>
          <w:szCs w:val="22"/>
          <w:lang w:val="en"/>
        </w:rPr>
        <w:t xml:space="preserve">Code base is accessible </w:t>
      </w:r>
      <w:r w:rsidRPr="00A75688">
        <w:rPr>
          <w:rFonts w:ascii="Arial" w:eastAsia="Arial" w:hAnsi="Arial" w:cs="Arial"/>
          <w:sz w:val="22"/>
          <w:szCs w:val="22"/>
          <w:lang w:val="en"/>
        </w:rPr>
        <w:br/>
      </w:r>
    </w:p>
    <w:p w14:paraId="225FC0F6" w14:textId="77777777" w:rsidR="00A75688" w:rsidRPr="00A75688" w:rsidRDefault="00A75688" w:rsidP="00A75688">
      <w:pPr>
        <w:spacing w:line="276" w:lineRule="auto"/>
        <w:rPr>
          <w:rFonts w:ascii="Arial" w:eastAsia="Arial" w:hAnsi="Arial" w:cs="Arial"/>
          <w:sz w:val="22"/>
          <w:szCs w:val="22"/>
          <w:lang w:val="en"/>
        </w:rPr>
      </w:pPr>
      <w:r w:rsidRPr="00A75688">
        <w:rPr>
          <w:rFonts w:ascii="Arial" w:eastAsia="Arial" w:hAnsi="Arial" w:cs="Arial"/>
          <w:b/>
          <w:sz w:val="22"/>
          <w:szCs w:val="22"/>
          <w:lang w:val="en"/>
        </w:rPr>
        <w:t>Title Page</w:t>
      </w:r>
    </w:p>
    <w:p w14:paraId="4E7A6B11"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Include this checklist as first page (LaTeX also available)</w:t>
      </w:r>
    </w:p>
    <w:p w14:paraId="496A52E0"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Descriptive, accurate title (under 20 words)</w:t>
      </w:r>
    </w:p>
    <w:p w14:paraId="0EFA4434"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Student name and NetID</w:t>
      </w:r>
    </w:p>
    <w:p w14:paraId="321736CA"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Date (5 points for on-time submissions)</w:t>
      </w:r>
    </w:p>
    <w:p w14:paraId="3F9DAA31"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Lab partners listed (if applicable)</w:t>
      </w:r>
    </w:p>
    <w:p w14:paraId="1E96E63B" w14:textId="77777777" w:rsidR="00A75688" w:rsidRPr="00A75688" w:rsidRDefault="00A75688" w:rsidP="00A75688">
      <w:pPr>
        <w:spacing w:line="276" w:lineRule="auto"/>
        <w:rPr>
          <w:rFonts w:ascii="Arial" w:eastAsia="Arial" w:hAnsi="Arial" w:cs="Arial"/>
          <w:sz w:val="22"/>
          <w:szCs w:val="22"/>
          <w:lang w:val="en"/>
        </w:rPr>
      </w:pPr>
    </w:p>
    <w:p w14:paraId="1E0B2367"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Abstract</w:t>
      </w:r>
    </w:p>
    <w:p w14:paraId="2C59E236"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Purpose and objectives clearly stated</w:t>
      </w:r>
    </w:p>
    <w:p w14:paraId="0F480983"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Methods summarized concisely</w:t>
      </w:r>
    </w:p>
    <w:p w14:paraId="59A19C89"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Key results highlighted with numbers</w:t>
      </w:r>
    </w:p>
    <w:p w14:paraId="27FF2B95"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Main conclusion stated</w:t>
      </w:r>
    </w:p>
    <w:p w14:paraId="0337B79E"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Less more 200 words</w:t>
      </w:r>
    </w:p>
    <w:p w14:paraId="0B8BDCA1" w14:textId="77777777" w:rsidR="00A75688" w:rsidRPr="00A75688" w:rsidRDefault="00A75688" w:rsidP="00A75688">
      <w:pPr>
        <w:spacing w:line="276" w:lineRule="auto"/>
        <w:rPr>
          <w:rFonts w:ascii="Arial" w:eastAsia="Arial" w:hAnsi="Arial" w:cs="Arial"/>
          <w:sz w:val="22"/>
          <w:szCs w:val="22"/>
          <w:lang w:val="en"/>
        </w:rPr>
      </w:pPr>
    </w:p>
    <w:p w14:paraId="0F9BB0C2"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Introduction</w:t>
      </w:r>
    </w:p>
    <w:p w14:paraId="62D8C9A6"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Between two and five paragraphs</w:t>
      </w:r>
    </w:p>
    <w:p w14:paraId="31BCC554"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Relevant background research provided</w:t>
      </w:r>
    </w:p>
    <w:p w14:paraId="31EAE57C"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Research question clearly stated</w:t>
      </w:r>
    </w:p>
    <w:p w14:paraId="1B7281D8" w14:textId="77777777" w:rsidR="00A75688" w:rsidRPr="00A75688" w:rsidRDefault="00A75688" w:rsidP="00A75688">
      <w:pPr>
        <w:spacing w:line="276" w:lineRule="auto"/>
        <w:rPr>
          <w:rFonts w:ascii="Arial" w:eastAsia="Arial" w:hAnsi="Arial" w:cs="Arial"/>
          <w:sz w:val="22"/>
          <w:szCs w:val="22"/>
          <w:lang w:val="en"/>
        </w:rPr>
      </w:pPr>
    </w:p>
    <w:p w14:paraId="12EBED00"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Data &amp; Methods</w:t>
      </w:r>
    </w:p>
    <w:p w14:paraId="7FEFCEF2"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Data sources documented</w:t>
      </w:r>
    </w:p>
    <w:p w14:paraId="2DE311BA"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Data preprocessing steps documented</w:t>
      </w:r>
    </w:p>
    <w:p w14:paraId="7B2BD120"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Statistical methods described</w:t>
      </w:r>
    </w:p>
    <w:p w14:paraId="5B02C08B"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Experimental setup documented</w:t>
      </w:r>
    </w:p>
    <w:p w14:paraId="13A1815F"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Includes conceptual model or diagram of methods</w:t>
      </w:r>
    </w:p>
    <w:p w14:paraId="35ECCA11" w14:textId="77777777" w:rsidR="00A75688" w:rsidRPr="00A75688" w:rsidRDefault="00A75688" w:rsidP="00A75688">
      <w:pPr>
        <w:spacing w:line="276" w:lineRule="auto"/>
        <w:rPr>
          <w:rFonts w:ascii="Arial" w:eastAsia="Arial" w:hAnsi="Arial" w:cs="Arial"/>
          <w:sz w:val="22"/>
          <w:szCs w:val="22"/>
          <w:lang w:val="en"/>
        </w:rPr>
      </w:pPr>
    </w:p>
    <w:p w14:paraId="5810BCA0"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Results</w:t>
      </w:r>
    </w:p>
    <w:p w14:paraId="152126C9"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All tables numbered and labeled</w:t>
      </w:r>
    </w:p>
    <w:p w14:paraId="33D9ACA2"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All figures numbered and labeled</w:t>
      </w:r>
    </w:p>
    <w:p w14:paraId="40C0A4DC"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Statistical analysis included where appropriate</w:t>
      </w:r>
    </w:p>
    <w:p w14:paraId="398155E0"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Units clearly marked</w:t>
      </w:r>
    </w:p>
    <w:p w14:paraId="31C856EE"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Error bars shown where appropriate</w:t>
      </w:r>
    </w:p>
    <w:p w14:paraId="6DBBB928"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 xml:space="preserve">Results described without interpretation </w:t>
      </w:r>
      <w:r w:rsidRPr="00A75688">
        <w:rPr>
          <w:rFonts w:ascii="Arial" w:eastAsia="Arial" w:hAnsi="Arial" w:cs="Arial"/>
          <w:i/>
          <w:sz w:val="22"/>
          <w:szCs w:val="22"/>
          <w:lang w:val="en"/>
        </w:rPr>
        <w:t>unless</w:t>
      </w:r>
      <w:r w:rsidRPr="00A75688">
        <w:rPr>
          <w:rFonts w:ascii="Arial" w:eastAsia="Arial" w:hAnsi="Arial" w:cs="Arial"/>
          <w:sz w:val="22"/>
          <w:szCs w:val="22"/>
          <w:lang w:val="en"/>
        </w:rPr>
        <w:t xml:space="preserve"> section is labeled as “Results &amp; Discussion”</w:t>
      </w:r>
      <w:r w:rsidRPr="00A75688">
        <w:rPr>
          <w:rFonts w:ascii="Arial" w:eastAsia="Arial" w:hAnsi="Arial" w:cs="Arial"/>
          <w:sz w:val="22"/>
          <w:szCs w:val="22"/>
          <w:lang w:val="en"/>
        </w:rPr>
        <w:br/>
      </w:r>
    </w:p>
    <w:p w14:paraId="55BB256C"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Discussion</w:t>
      </w:r>
    </w:p>
    <w:p w14:paraId="07977DAC"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 xml:space="preserve">Results interpreted </w:t>
      </w:r>
    </w:p>
    <w:p w14:paraId="59BCF65E"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Comparison to literature included as relevant</w:t>
      </w:r>
    </w:p>
    <w:p w14:paraId="4144478B"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Sources of error, uncertainty, and or statistical significance discussed</w:t>
      </w:r>
    </w:p>
    <w:p w14:paraId="73797FB4"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Limitations acknowledged</w:t>
      </w:r>
    </w:p>
    <w:p w14:paraId="1724FEED"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Future research suggested</w:t>
      </w:r>
    </w:p>
    <w:p w14:paraId="0154782F" w14:textId="77777777" w:rsidR="00A75688" w:rsidRPr="00A75688" w:rsidRDefault="00A75688" w:rsidP="00A75688">
      <w:pPr>
        <w:spacing w:line="276" w:lineRule="auto"/>
        <w:rPr>
          <w:rFonts w:ascii="Arial" w:eastAsia="Arial" w:hAnsi="Arial" w:cs="Arial"/>
          <w:sz w:val="22"/>
          <w:szCs w:val="22"/>
          <w:lang w:val="en"/>
        </w:rPr>
      </w:pPr>
    </w:p>
    <w:p w14:paraId="20934B63"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Conclusion</w:t>
      </w:r>
    </w:p>
    <w:p w14:paraId="4DBFE42A"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Key findings summarized</w:t>
      </w:r>
    </w:p>
    <w:p w14:paraId="55A1045F"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Research question answered</w:t>
      </w:r>
    </w:p>
    <w:p w14:paraId="1D31A255"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Broader implications stated</w:t>
      </w:r>
    </w:p>
    <w:p w14:paraId="142D46FC"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Practical applications noted</w:t>
      </w:r>
    </w:p>
    <w:p w14:paraId="2808FC8D"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Future directions suggested</w:t>
      </w:r>
    </w:p>
    <w:p w14:paraId="7BCD803D" w14:textId="77777777" w:rsidR="00A75688" w:rsidRPr="00A75688" w:rsidRDefault="00A75688" w:rsidP="00A75688">
      <w:pPr>
        <w:spacing w:line="276" w:lineRule="auto"/>
        <w:rPr>
          <w:rFonts w:ascii="Arial" w:eastAsia="Arial" w:hAnsi="Arial" w:cs="Arial"/>
          <w:sz w:val="22"/>
          <w:szCs w:val="22"/>
          <w:lang w:val="en"/>
        </w:rPr>
      </w:pPr>
    </w:p>
    <w:p w14:paraId="15BDAE42"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References</w:t>
      </w:r>
    </w:p>
    <w:p w14:paraId="28D2C476"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Includes all references cited in text</w:t>
      </w:r>
    </w:p>
    <w:p w14:paraId="38C7BC55"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References are current/relevant</w:t>
      </w:r>
    </w:p>
    <w:p w14:paraId="6190DE12" w14:textId="77777777" w:rsidR="00A75688" w:rsidRPr="00A75688" w:rsidRDefault="00A75688" w:rsidP="00A75688">
      <w:pPr>
        <w:numPr>
          <w:ilvl w:val="0"/>
          <w:numId w:val="14"/>
        </w:numPr>
        <w:spacing w:line="276" w:lineRule="auto"/>
        <w:rPr>
          <w:rFonts w:ascii="Arial" w:eastAsia="Arial" w:hAnsi="Arial" w:cs="Arial"/>
          <w:sz w:val="22"/>
          <w:szCs w:val="22"/>
          <w:lang w:val="en"/>
        </w:rPr>
      </w:pPr>
      <w:r w:rsidRPr="00A75688">
        <w:rPr>
          <w:rFonts w:ascii="Arial" w:eastAsia="Arial" w:hAnsi="Arial" w:cs="Arial"/>
          <w:sz w:val="22"/>
          <w:szCs w:val="22"/>
          <w:lang w:val="en"/>
        </w:rPr>
        <w:t>References are varied as relevant (include older papers when appropriate)</w:t>
      </w:r>
    </w:p>
    <w:p w14:paraId="0DA4468A" w14:textId="77777777" w:rsidR="00A75688" w:rsidRPr="00A75688" w:rsidRDefault="00A75688" w:rsidP="00A75688">
      <w:pPr>
        <w:spacing w:line="276" w:lineRule="auto"/>
        <w:ind w:left="720"/>
        <w:rPr>
          <w:rFonts w:ascii="Arial" w:eastAsia="Arial" w:hAnsi="Arial" w:cs="Arial"/>
          <w:sz w:val="22"/>
          <w:szCs w:val="22"/>
          <w:lang w:val="en"/>
        </w:rPr>
      </w:pPr>
    </w:p>
    <w:p w14:paraId="7232C21E" w14:textId="77777777" w:rsidR="00A75688" w:rsidRPr="00A75688" w:rsidRDefault="00A75688" w:rsidP="00A75688">
      <w:pPr>
        <w:spacing w:line="276" w:lineRule="auto"/>
        <w:rPr>
          <w:rFonts w:ascii="Arial" w:eastAsia="Arial" w:hAnsi="Arial" w:cs="Arial"/>
          <w:b/>
          <w:sz w:val="22"/>
          <w:szCs w:val="22"/>
          <w:lang w:val="en"/>
        </w:rPr>
      </w:pPr>
      <w:r w:rsidRPr="00A75688">
        <w:rPr>
          <w:rFonts w:ascii="Arial" w:eastAsia="Arial" w:hAnsi="Arial" w:cs="Arial"/>
          <w:b/>
          <w:sz w:val="22"/>
          <w:szCs w:val="22"/>
          <w:lang w:val="en"/>
        </w:rPr>
        <w:t>Figures</w:t>
      </w:r>
    </w:p>
    <w:p w14:paraId="204DFCA0" w14:textId="77777777" w:rsidR="00A75688" w:rsidRPr="00A75688" w:rsidRDefault="00A75688" w:rsidP="00A75688">
      <w:pPr>
        <w:numPr>
          <w:ilvl w:val="0"/>
          <w:numId w:val="16"/>
        </w:numPr>
        <w:spacing w:line="276" w:lineRule="auto"/>
        <w:rPr>
          <w:rFonts w:ascii="Arial" w:eastAsia="Arial" w:hAnsi="Arial" w:cs="Arial"/>
          <w:sz w:val="22"/>
          <w:szCs w:val="22"/>
          <w:lang w:val="en"/>
        </w:rPr>
      </w:pPr>
      <w:r w:rsidRPr="00A75688">
        <w:rPr>
          <w:rFonts w:ascii="Arial" w:eastAsia="Arial" w:hAnsi="Arial" w:cs="Arial"/>
          <w:sz w:val="22"/>
          <w:szCs w:val="22"/>
          <w:lang w:val="en"/>
        </w:rPr>
        <w:t>Generally interpretable from caption, labels, and legend</w:t>
      </w:r>
    </w:p>
    <w:p w14:paraId="6AE14609" w14:textId="77777777" w:rsidR="00A75688" w:rsidRPr="00A75688" w:rsidRDefault="00A75688" w:rsidP="00A75688">
      <w:pPr>
        <w:numPr>
          <w:ilvl w:val="0"/>
          <w:numId w:val="16"/>
        </w:numPr>
        <w:spacing w:line="276" w:lineRule="auto"/>
        <w:rPr>
          <w:rFonts w:ascii="Arial" w:eastAsia="Arial" w:hAnsi="Arial" w:cs="Arial"/>
          <w:sz w:val="22"/>
          <w:szCs w:val="22"/>
          <w:lang w:val="en"/>
        </w:rPr>
      </w:pPr>
      <w:r w:rsidRPr="00A75688">
        <w:rPr>
          <w:rFonts w:ascii="Arial" w:eastAsia="Arial" w:hAnsi="Arial" w:cs="Arial"/>
          <w:sz w:val="22"/>
          <w:szCs w:val="22"/>
          <w:lang w:val="en"/>
        </w:rPr>
        <w:t>Quality of graphics is aesthetically pleasing</w:t>
      </w:r>
    </w:p>
    <w:p w14:paraId="5F48C526" w14:textId="77777777" w:rsidR="00A75688" w:rsidRPr="00A75688" w:rsidRDefault="00A75688" w:rsidP="00A75688">
      <w:pPr>
        <w:numPr>
          <w:ilvl w:val="0"/>
          <w:numId w:val="16"/>
        </w:numPr>
        <w:spacing w:line="276" w:lineRule="auto"/>
        <w:rPr>
          <w:rFonts w:ascii="Arial" w:eastAsia="Arial" w:hAnsi="Arial" w:cs="Arial"/>
          <w:sz w:val="22"/>
          <w:szCs w:val="22"/>
          <w:lang w:val="en"/>
        </w:rPr>
      </w:pPr>
      <w:r w:rsidRPr="00A75688">
        <w:rPr>
          <w:rFonts w:ascii="Arial" w:eastAsia="Arial" w:hAnsi="Arial" w:cs="Arial"/>
          <w:sz w:val="22"/>
          <w:szCs w:val="22"/>
          <w:lang w:val="en"/>
        </w:rPr>
        <w:t>Font sizes on axes, legends are legible</w:t>
      </w:r>
    </w:p>
    <w:p w14:paraId="41D086D7" w14:textId="77777777" w:rsidR="00A75688" w:rsidRPr="00D427C7" w:rsidRDefault="00A75688" w:rsidP="00A75688">
      <w:pPr>
        <w:spacing w:after="160"/>
        <w:rPr>
          <w:rFonts w:ascii="Arial" w:eastAsiaTheme="majorEastAsia" w:hAnsi="Arial" w:cs="Arial"/>
          <w:b/>
          <w:bCs/>
          <w:sz w:val="22"/>
          <w:szCs w:val="22"/>
          <w:lang w:val="en"/>
        </w:rPr>
        <w:sectPr w:rsidR="00A75688" w:rsidRPr="00D427C7" w:rsidSect="009E714C">
          <w:footerReference w:type="even" r:id="rId7"/>
          <w:footerReference w:type="default" r:id="rId8"/>
          <w:pgSz w:w="12240" w:h="15840"/>
          <w:pgMar w:top="1440" w:right="1440" w:bottom="1440" w:left="1440" w:header="720" w:footer="720" w:gutter="0"/>
          <w:cols w:num="2" w:space="720"/>
          <w:titlePg/>
          <w:docGrid w:linePitch="360"/>
        </w:sectPr>
      </w:pPr>
    </w:p>
    <w:p w14:paraId="73B681F3" w14:textId="77777777" w:rsidR="00A75688" w:rsidRPr="00A75688" w:rsidRDefault="00A75688" w:rsidP="00A75688">
      <w:pPr>
        <w:spacing w:after="160"/>
        <w:rPr>
          <w:rFonts w:ascii="Arial" w:eastAsiaTheme="majorEastAsia" w:hAnsi="Arial" w:cs="Arial"/>
          <w:b/>
          <w:bCs/>
          <w:lang w:val="en"/>
        </w:rPr>
      </w:pPr>
    </w:p>
    <w:p w14:paraId="44C8F812" w14:textId="77777777" w:rsidR="00A75688" w:rsidRDefault="00A75688">
      <w:pPr>
        <w:spacing w:after="160" w:line="278" w:lineRule="auto"/>
        <w:rPr>
          <w:rFonts w:ascii="Arial" w:eastAsiaTheme="majorEastAsia" w:hAnsi="Arial" w:cs="Arial"/>
          <w:b/>
          <w:bCs/>
        </w:rPr>
      </w:pPr>
      <w:r>
        <w:rPr>
          <w:rFonts w:ascii="Arial" w:eastAsiaTheme="majorEastAsia" w:hAnsi="Arial" w:cs="Arial"/>
          <w:b/>
          <w:bCs/>
        </w:rPr>
        <w:br w:type="page"/>
      </w:r>
    </w:p>
    <w:p w14:paraId="358505F6" w14:textId="21EDE10A" w:rsidR="00C71531" w:rsidRPr="00C71531" w:rsidRDefault="00C71531" w:rsidP="00A75688">
      <w:pPr>
        <w:spacing w:after="160"/>
        <w:rPr>
          <w:rFonts w:ascii="Arial" w:hAnsi="Arial" w:cs="Arial"/>
        </w:rPr>
      </w:pPr>
      <w:r w:rsidRPr="00C71531">
        <w:rPr>
          <w:rFonts w:ascii="Arial" w:eastAsiaTheme="majorEastAsia" w:hAnsi="Arial" w:cs="Arial"/>
          <w:b/>
          <w:bCs/>
        </w:rPr>
        <w:lastRenderedPageBreak/>
        <w:t>Lab 0: EOF Analysis of Global SST Patterns</w:t>
      </w:r>
      <w:r w:rsidRPr="00C71531">
        <w:rPr>
          <w:rFonts w:ascii="Arial" w:hAnsi="Arial" w:cs="Arial"/>
        </w:rPr>
        <w:br/>
        <w:t xml:space="preserve">EAS 6995 </w:t>
      </w:r>
      <w:r w:rsidR="009E714C" w:rsidRPr="009E714C">
        <w:rPr>
          <w:rFonts w:ascii="Arial" w:hAnsi="Arial" w:cs="Arial"/>
        </w:rPr>
        <w:t>Deep Learning in Earth and Environmental Science</w:t>
      </w:r>
    </w:p>
    <w:p w14:paraId="4B428F1A" w14:textId="77777777" w:rsidR="00C71531" w:rsidRPr="00C71531" w:rsidRDefault="006D5016" w:rsidP="00A75688">
      <w:pPr>
        <w:spacing w:after="160"/>
        <w:rPr>
          <w:rFonts w:ascii="Arial" w:hAnsi="Arial" w:cs="Arial"/>
        </w:rPr>
      </w:pPr>
      <w:r w:rsidRPr="006D5016">
        <w:rPr>
          <w:rFonts w:ascii="Arial" w:hAnsi="Arial" w:cs="Arial"/>
          <w:noProof/>
          <w14:ligatures w14:val="standardContextual"/>
        </w:rPr>
        <w:pict w14:anchorId="76E4AAB2">
          <v:rect id="_x0000_i1027" alt="" style="width:468pt;height:.05pt;mso-width-percent:0;mso-height-percent:0;mso-width-percent:0;mso-height-percent:0" o:hralign="center" o:hrstd="t" o:hr="t" fillcolor="#a0a0a0" stroked="f"/>
        </w:pict>
      </w:r>
    </w:p>
    <w:p w14:paraId="58EC25B9" w14:textId="77777777" w:rsidR="00C71531" w:rsidRPr="00C71531" w:rsidRDefault="00C71531" w:rsidP="00A75688">
      <w:pPr>
        <w:spacing w:after="160"/>
        <w:rPr>
          <w:rFonts w:ascii="Arial" w:hAnsi="Arial" w:cs="Arial"/>
        </w:rPr>
      </w:pPr>
      <w:r w:rsidRPr="00C71531">
        <w:rPr>
          <w:rFonts w:ascii="Arial" w:eastAsiaTheme="majorEastAsia" w:hAnsi="Arial" w:cs="Arial"/>
          <w:b/>
          <w:bCs/>
        </w:rPr>
        <w:t>Title</w:t>
      </w:r>
      <w:r w:rsidRPr="00C71531">
        <w:rPr>
          <w:rFonts w:ascii="Arial" w:hAnsi="Arial" w:cs="Arial"/>
        </w:rPr>
        <w:t>:</w:t>
      </w:r>
      <w:r w:rsidRPr="00C71531">
        <w:rPr>
          <w:rFonts w:ascii="Arial" w:hAnsi="Arial" w:cs="Arial"/>
        </w:rPr>
        <w:br/>
        <w:t>Empirical Orthogonal Function (EOF) Analysis of Global Sea Surface Temperature (SST) Variability</w:t>
      </w:r>
    </w:p>
    <w:p w14:paraId="76701BB8" w14:textId="4B56A7DB" w:rsidR="00C71531" w:rsidRPr="00C71531" w:rsidRDefault="00C71531" w:rsidP="00A75688">
      <w:pPr>
        <w:spacing w:after="160"/>
        <w:rPr>
          <w:rFonts w:ascii="Arial" w:hAnsi="Arial" w:cs="Arial"/>
        </w:rPr>
      </w:pPr>
      <w:r w:rsidRPr="00C71531">
        <w:rPr>
          <w:rFonts w:ascii="Arial" w:eastAsiaTheme="majorEastAsia" w:hAnsi="Arial" w:cs="Arial"/>
          <w:b/>
          <w:bCs/>
        </w:rPr>
        <w:t>Author</w:t>
      </w:r>
      <w:r w:rsidRPr="00C71531">
        <w:rPr>
          <w:rFonts w:ascii="Arial" w:hAnsi="Arial" w:cs="Arial"/>
        </w:rPr>
        <w:t>:</w:t>
      </w:r>
      <w:r w:rsidRPr="00C71531">
        <w:rPr>
          <w:rFonts w:ascii="Arial" w:hAnsi="Arial" w:cs="Arial"/>
        </w:rPr>
        <w:br/>
      </w:r>
      <w:r w:rsidR="00D346F6" w:rsidRPr="00A75688">
        <w:rPr>
          <w:rFonts w:ascii="Arial" w:hAnsi="Arial" w:cs="Arial"/>
        </w:rPr>
        <w:t>Yifan Luo,</w:t>
      </w:r>
      <w:r w:rsidRPr="00C71531">
        <w:rPr>
          <w:rFonts w:ascii="Arial" w:hAnsi="Arial" w:cs="Arial"/>
        </w:rPr>
        <w:t xml:space="preserve"> </w:t>
      </w:r>
      <w:r w:rsidR="00D346F6" w:rsidRPr="00A75688">
        <w:rPr>
          <w:rFonts w:ascii="Arial" w:hAnsi="Arial" w:cs="Arial"/>
        </w:rPr>
        <w:t>yl3699</w:t>
      </w:r>
    </w:p>
    <w:p w14:paraId="45E4692A" w14:textId="79776FB9" w:rsidR="00C71531" w:rsidRPr="00C71531" w:rsidRDefault="00C71531" w:rsidP="00A75688">
      <w:pPr>
        <w:spacing w:after="160"/>
        <w:rPr>
          <w:rFonts w:ascii="Arial" w:hAnsi="Arial" w:cs="Arial"/>
        </w:rPr>
      </w:pPr>
      <w:r w:rsidRPr="00C71531">
        <w:rPr>
          <w:rFonts w:ascii="Arial" w:eastAsiaTheme="majorEastAsia" w:hAnsi="Arial" w:cs="Arial"/>
          <w:b/>
          <w:bCs/>
        </w:rPr>
        <w:t>Date</w:t>
      </w:r>
      <w:r w:rsidRPr="00C71531">
        <w:rPr>
          <w:rFonts w:ascii="Arial" w:hAnsi="Arial" w:cs="Arial"/>
        </w:rPr>
        <w:t>:</w:t>
      </w:r>
      <w:r w:rsidRPr="00C71531">
        <w:rPr>
          <w:rFonts w:ascii="Arial" w:hAnsi="Arial" w:cs="Arial"/>
        </w:rPr>
        <w:br/>
      </w:r>
      <w:r w:rsidR="00D346F6" w:rsidRPr="00A75688">
        <w:rPr>
          <w:rFonts w:ascii="Arial" w:hAnsi="Arial" w:cs="Arial"/>
        </w:rPr>
        <w:t>February 5</w:t>
      </w:r>
      <w:r w:rsidRPr="00C71531">
        <w:rPr>
          <w:rFonts w:ascii="Arial" w:hAnsi="Arial" w:cs="Arial"/>
        </w:rPr>
        <w:t>, 2025</w:t>
      </w:r>
    </w:p>
    <w:p w14:paraId="219DAFE9" w14:textId="77777777" w:rsidR="00C71531" w:rsidRPr="00C71531" w:rsidRDefault="006D5016" w:rsidP="00A75688">
      <w:pPr>
        <w:spacing w:after="160"/>
        <w:rPr>
          <w:rFonts w:ascii="Arial" w:hAnsi="Arial" w:cs="Arial"/>
        </w:rPr>
      </w:pPr>
      <w:r w:rsidRPr="006D5016">
        <w:rPr>
          <w:rFonts w:ascii="Arial" w:hAnsi="Arial" w:cs="Arial"/>
          <w:noProof/>
          <w14:ligatures w14:val="standardContextual"/>
        </w:rPr>
        <w:pict w14:anchorId="21C9A029">
          <v:rect id="_x0000_i1026" alt="" style="width:468pt;height:.05pt;mso-width-percent:0;mso-height-percent:0;mso-width-percent:0;mso-height-percent:0" o:hralign="center" o:hrstd="t" o:hr="t" fillcolor="#a0a0a0" stroked="f"/>
        </w:pict>
      </w:r>
    </w:p>
    <w:p w14:paraId="39724919" w14:textId="77777777" w:rsidR="00C71531" w:rsidRPr="00C71531" w:rsidRDefault="00C71531" w:rsidP="00A75688">
      <w:pPr>
        <w:spacing w:after="160"/>
        <w:rPr>
          <w:rFonts w:ascii="Arial" w:hAnsi="Arial" w:cs="Arial"/>
          <w:b/>
          <w:bCs/>
        </w:rPr>
      </w:pPr>
      <w:r w:rsidRPr="00C71531">
        <w:rPr>
          <w:rFonts w:ascii="Arial" w:hAnsi="Arial" w:cs="Arial"/>
          <w:b/>
          <w:bCs/>
        </w:rPr>
        <w:t>Abstract</w:t>
      </w:r>
    </w:p>
    <w:p w14:paraId="4978E2E5" w14:textId="300CA3F8" w:rsidR="00A75688" w:rsidRPr="00A75688" w:rsidRDefault="00A75688" w:rsidP="00A75688">
      <w:pPr>
        <w:spacing w:after="160"/>
        <w:rPr>
          <w:rFonts w:ascii="Arial" w:hAnsi="Arial" w:cs="Arial"/>
        </w:rPr>
      </w:pPr>
      <w:r w:rsidRPr="00A75688">
        <w:rPr>
          <w:rFonts w:ascii="Arial" w:hAnsi="Arial" w:cs="Arial"/>
        </w:rPr>
        <w:t xml:space="preserve">This lab applies Empirical Orthogonal Function (EOF) analysis to identify dominant spatial and temporal variability patterns in global sea surface temperature (SST) data. Key steps included preprocessing the dataset (removing seasonal cycles, latitude weighting), computing EOFs, and interpreting results in the context of climate phenomena. The first three EOFs explain 30.7%, 26.6%, and 10.5% of the variance, cumulatively accounting for 67.8% of total variability. Notably, the second principal component (PC2) exhibits a strong positive correlation with the Niño Index </w:t>
      </w:r>
      <w:r w:rsidRPr="00C71531">
        <w:rPr>
          <w:rFonts w:ascii="Arial" w:hAnsi="Arial" w:cs="Arial"/>
        </w:rPr>
        <w:t>strongly (</w:t>
      </w:r>
      <m:oMath>
        <m:r>
          <w:rPr>
            <w:rFonts w:ascii="Cambria Math" w:hAnsi="Cambria Math" w:cs="Arial"/>
          </w:rPr>
          <m:t>r</m:t>
        </m:r>
      </m:oMath>
      <w:r w:rsidRPr="00C71531">
        <w:rPr>
          <w:rFonts w:ascii="Arial" w:hAnsi="Arial" w:cs="Arial"/>
        </w:rPr>
        <w:t xml:space="preserve"> = 0.93</w:t>
      </w:r>
      <w:r w:rsidRPr="00A75688">
        <w:rPr>
          <w:rFonts w:ascii="Arial" w:hAnsi="Arial" w:cs="Arial"/>
        </w:rPr>
        <w:t xml:space="preserve">), indicating its association with El Niño-Southern Oscillation (ENSO). These results highlight the utility of EOF analysis in isolating climate </w:t>
      </w:r>
      <w:proofErr w:type="spellStart"/>
      <w:r w:rsidRPr="00A75688">
        <w:rPr>
          <w:rFonts w:ascii="Arial" w:hAnsi="Arial" w:cs="Arial"/>
        </w:rPr>
        <w:t>modes</w:t>
      </w:r>
      <w:proofErr w:type="spellEnd"/>
      <w:r w:rsidRPr="00A75688">
        <w:rPr>
          <w:rFonts w:ascii="Arial" w:hAnsi="Arial" w:cs="Arial"/>
        </w:rPr>
        <w:t xml:space="preserve"> from complex spatiotemporal data.</w:t>
      </w:r>
    </w:p>
    <w:p w14:paraId="57E65E3A" w14:textId="77777777" w:rsidR="00C71531" w:rsidRPr="00C71531" w:rsidRDefault="006D5016" w:rsidP="00A75688">
      <w:pPr>
        <w:spacing w:after="160"/>
        <w:rPr>
          <w:rFonts w:ascii="Arial" w:hAnsi="Arial" w:cs="Arial"/>
        </w:rPr>
      </w:pPr>
      <w:r w:rsidRPr="006D5016">
        <w:rPr>
          <w:rFonts w:ascii="Arial" w:hAnsi="Arial" w:cs="Arial"/>
          <w:noProof/>
          <w14:ligatures w14:val="standardContextual"/>
        </w:rPr>
        <w:pict w14:anchorId="5BB69001">
          <v:rect id="_x0000_i1025" alt="" style="width:468pt;height:.05pt;mso-width-percent:0;mso-height-percent:0;mso-width-percent:0;mso-height-percent:0" o:hralign="center" o:hrstd="t" o:hr="t" fillcolor="#a0a0a0" stroked="f"/>
        </w:pict>
      </w:r>
    </w:p>
    <w:p w14:paraId="22534E7E" w14:textId="77777777" w:rsidR="00A75688" w:rsidRDefault="00A75688">
      <w:pPr>
        <w:spacing w:after="160" w:line="278" w:lineRule="auto"/>
        <w:rPr>
          <w:rFonts w:ascii="Arial" w:hAnsi="Arial" w:cs="Arial"/>
          <w:b/>
          <w:bCs/>
        </w:rPr>
      </w:pPr>
      <w:r>
        <w:rPr>
          <w:rFonts w:ascii="Arial" w:hAnsi="Arial" w:cs="Arial"/>
          <w:b/>
          <w:bCs/>
        </w:rPr>
        <w:br w:type="page"/>
      </w:r>
    </w:p>
    <w:p w14:paraId="3BB9AA2B" w14:textId="01A7ED9D" w:rsidR="00C71531" w:rsidRPr="00C71531" w:rsidRDefault="00C71531" w:rsidP="00A75688">
      <w:pPr>
        <w:spacing w:after="160"/>
        <w:rPr>
          <w:rFonts w:ascii="Arial" w:hAnsi="Arial" w:cs="Arial"/>
          <w:b/>
          <w:bCs/>
        </w:rPr>
      </w:pPr>
      <w:r w:rsidRPr="00C71531">
        <w:rPr>
          <w:rFonts w:ascii="Arial" w:hAnsi="Arial" w:cs="Arial"/>
          <w:b/>
          <w:bCs/>
        </w:rPr>
        <w:lastRenderedPageBreak/>
        <w:t>1. Introduction</w:t>
      </w:r>
    </w:p>
    <w:p w14:paraId="01794998" w14:textId="77777777" w:rsidR="00A15E81" w:rsidRPr="00A15E81" w:rsidRDefault="00A15E81" w:rsidP="00A15E81">
      <w:pPr>
        <w:spacing w:after="160"/>
        <w:rPr>
          <w:rFonts w:ascii="Arial" w:hAnsi="Arial" w:cs="Arial"/>
        </w:rPr>
      </w:pPr>
      <w:r w:rsidRPr="00A15E81">
        <w:rPr>
          <w:rFonts w:ascii="Arial" w:hAnsi="Arial" w:cs="Arial"/>
        </w:rPr>
        <w:t>In the realm of climate science, global sea surface temperature (SST) anomalies are known to drive large</w:t>
      </w:r>
      <w:r w:rsidRPr="00A15E81">
        <w:rPr>
          <w:rFonts w:ascii="Cambria Math" w:hAnsi="Cambria Math" w:cs="Cambria Math"/>
        </w:rPr>
        <w:t>‐</w:t>
      </w:r>
      <w:r w:rsidRPr="00A15E81">
        <w:rPr>
          <w:rFonts w:ascii="Arial" w:hAnsi="Arial" w:cs="Arial"/>
        </w:rPr>
        <w:t>scale atmospheric circulations and impact weather patterns worldwide. One of the most notable examples is the El Niño–Southern Oscillation (ENSO), an interannual mode of ocean</w:t>
      </w:r>
      <w:r w:rsidRPr="00A15E81">
        <w:rPr>
          <w:rFonts w:ascii="Cambria Math" w:hAnsi="Cambria Math" w:cs="Cambria Math"/>
        </w:rPr>
        <w:t>‐</w:t>
      </w:r>
      <w:r w:rsidRPr="00A15E81">
        <w:rPr>
          <w:rFonts w:ascii="Arial" w:hAnsi="Arial" w:cs="Arial"/>
        </w:rPr>
        <w:t>atmosphere variability that produces pronounced warming or cooling in the central</w:t>
      </w:r>
      <w:r w:rsidRPr="00A15E81">
        <w:rPr>
          <w:rFonts w:ascii="Cambria Math" w:hAnsi="Cambria Math" w:cs="Cambria Math"/>
        </w:rPr>
        <w:t>‐</w:t>
      </w:r>
      <w:r w:rsidRPr="00A15E81">
        <w:rPr>
          <w:rFonts w:ascii="Arial" w:hAnsi="Arial" w:cs="Arial"/>
        </w:rPr>
        <w:t>eastern tropical Pacific and influences rainfall, tropical cyclones, and global temperature anomalies (Trenberth, 1997). However, ENSO is not the only driver of climate variability; phenomena such as the Pacific Decadal Oscillation and the Atlantic Multidecadal Oscillation also contribute to the spatiotemporal complexity of the global climate system (</w:t>
      </w:r>
      <w:proofErr w:type="spellStart"/>
      <w:r w:rsidRPr="00A15E81">
        <w:rPr>
          <w:rFonts w:ascii="Arial" w:hAnsi="Arial" w:cs="Arial"/>
        </w:rPr>
        <w:t>Deser</w:t>
      </w:r>
      <w:proofErr w:type="spellEnd"/>
      <w:r w:rsidRPr="00A15E81">
        <w:rPr>
          <w:rFonts w:ascii="Arial" w:hAnsi="Arial" w:cs="Arial"/>
        </w:rPr>
        <w:t xml:space="preserve"> et al., 2010).</w:t>
      </w:r>
    </w:p>
    <w:p w14:paraId="25090DB5" w14:textId="42F9F2B6" w:rsidR="00A15E81" w:rsidRPr="00A15E81" w:rsidRDefault="00A15E81" w:rsidP="00A15E81">
      <w:pPr>
        <w:spacing w:after="160"/>
        <w:rPr>
          <w:rFonts w:ascii="Arial" w:hAnsi="Arial" w:cs="Arial"/>
        </w:rPr>
      </w:pPr>
      <w:r w:rsidRPr="00A15E81">
        <w:rPr>
          <w:rFonts w:ascii="Arial" w:hAnsi="Arial" w:cs="Arial"/>
        </w:rPr>
        <w:t xml:space="preserve">Empirical Orthogonal Function (EOF) analysis, also referred to as Principal Component Analysis (PCA) in statistics, provides a powerful way to extract these dominant modes of variability from large datasets (von Storch &amp; Zwiers, 1999). </w:t>
      </w:r>
      <w:r w:rsidR="00684244" w:rsidRPr="00684244">
        <w:rPr>
          <w:rFonts w:ascii="Arial" w:hAnsi="Arial" w:cs="Arial"/>
        </w:rPr>
        <w:t>Widely applied to sea surface temperature (SST) datasets, EOF analysis has proven instrumental in identifying large-scale climate phenomena such as the El Niño-Southern Oscillation (ENSO) and Pacific Decadal Oscillation (PDO) (Huang &amp; Xie, 2015</w:t>
      </w:r>
      <w:r w:rsidR="00684244">
        <w:rPr>
          <w:rFonts w:ascii="Arial" w:hAnsi="Arial" w:cs="Arial"/>
        </w:rPr>
        <w:t xml:space="preserve">; </w:t>
      </w:r>
      <w:proofErr w:type="spellStart"/>
      <w:r w:rsidR="00684244" w:rsidRPr="00684244">
        <w:rPr>
          <w:rFonts w:ascii="Arial" w:hAnsi="Arial" w:cs="Arial"/>
        </w:rPr>
        <w:t>Werb</w:t>
      </w:r>
      <w:proofErr w:type="spellEnd"/>
      <w:r w:rsidR="00684244" w:rsidRPr="00684244">
        <w:rPr>
          <w:rFonts w:ascii="Arial" w:hAnsi="Arial" w:cs="Arial"/>
        </w:rPr>
        <w:t xml:space="preserve"> &amp; Rudnick, 2023).</w:t>
      </w:r>
      <w:r w:rsidR="00684244">
        <w:rPr>
          <w:rFonts w:ascii="Arial" w:hAnsi="Arial" w:cs="Arial"/>
        </w:rPr>
        <w:t xml:space="preserve"> </w:t>
      </w:r>
      <w:r w:rsidRPr="00A15E81">
        <w:rPr>
          <w:rFonts w:ascii="Arial" w:hAnsi="Arial" w:cs="Arial"/>
        </w:rPr>
        <w:t>By decomposing spatiotemporal fields into orthogonal patterns, EOF analysis helps clarify which regions covary in time and how strongly certain modes contribute to the total variance.</w:t>
      </w:r>
    </w:p>
    <w:p w14:paraId="7705C41C" w14:textId="689FD6D5" w:rsidR="009E714C" w:rsidRPr="009E714C" w:rsidRDefault="009E714C" w:rsidP="009E714C">
      <w:pPr>
        <w:spacing w:after="160"/>
        <w:rPr>
          <w:rFonts w:ascii="Arial" w:hAnsi="Arial" w:cs="Arial"/>
        </w:rPr>
      </w:pPr>
      <w:r w:rsidRPr="009E714C">
        <w:rPr>
          <w:rFonts w:ascii="Arial" w:hAnsi="Arial" w:cs="Arial"/>
        </w:rPr>
        <w:t xml:space="preserve">This lab applies EOF analysis to global SST data to address the following research question: What are the dominant modes of SST variability, and how do they correlate with ENSO activity? Building on methodologies established in prior studies, </w:t>
      </w:r>
      <w:r w:rsidR="00684244">
        <w:rPr>
          <w:rFonts w:ascii="Arial" w:hAnsi="Arial" w:cs="Arial"/>
        </w:rPr>
        <w:t>I</w:t>
      </w:r>
      <w:r w:rsidRPr="009E714C">
        <w:rPr>
          <w:rFonts w:ascii="Arial" w:hAnsi="Arial" w:cs="Arial"/>
        </w:rPr>
        <w:t xml:space="preserve"> preprocess the data by removing seasonal cycles and applying latitude weighting to mitigate spatial biases. The analysis aims to (1) identify the leading EOF patterns, (2) quantify their explained variance, and (3) assess linkages between principal components (PCs) and ENSO through correlation with the Niño Index. By contextualizing results within existing literature, this work seeks to reinforce the utility of EOF analysis in climate science while contributing new insights into SST variability drivers.</w:t>
      </w:r>
    </w:p>
    <w:p w14:paraId="6FC0CC83" w14:textId="77777777" w:rsidR="00C71531" w:rsidRPr="00C71531" w:rsidRDefault="00C71531" w:rsidP="00A75688">
      <w:pPr>
        <w:spacing w:after="160"/>
        <w:rPr>
          <w:rFonts w:ascii="Arial" w:hAnsi="Arial" w:cs="Arial"/>
          <w:b/>
          <w:bCs/>
        </w:rPr>
      </w:pPr>
      <w:r w:rsidRPr="00C71531">
        <w:rPr>
          <w:rFonts w:ascii="Arial" w:hAnsi="Arial" w:cs="Arial"/>
          <w:b/>
          <w:bCs/>
        </w:rPr>
        <w:t>2. Data &amp; Methods</w:t>
      </w:r>
    </w:p>
    <w:p w14:paraId="5272B506" w14:textId="77777777" w:rsidR="00C71531" w:rsidRPr="00C71531" w:rsidRDefault="00C71531" w:rsidP="00A75688">
      <w:pPr>
        <w:spacing w:after="160"/>
        <w:rPr>
          <w:rFonts w:ascii="Arial" w:hAnsi="Arial" w:cs="Arial"/>
          <w:b/>
          <w:bCs/>
        </w:rPr>
      </w:pPr>
      <w:r w:rsidRPr="00C71531">
        <w:rPr>
          <w:rFonts w:ascii="Arial" w:hAnsi="Arial" w:cs="Arial"/>
          <w:b/>
          <w:bCs/>
        </w:rPr>
        <w:t>2.1 Data Sources</w:t>
      </w:r>
    </w:p>
    <w:p w14:paraId="4ED41F89" w14:textId="4BCDCEDA" w:rsidR="00A75688" w:rsidRPr="00A75688" w:rsidRDefault="00A75688" w:rsidP="00A75688">
      <w:pPr>
        <w:spacing w:after="160"/>
        <w:rPr>
          <w:rFonts w:ascii="Arial" w:hAnsi="Arial" w:cs="Arial"/>
        </w:rPr>
      </w:pPr>
      <w:r w:rsidRPr="00A75688">
        <w:rPr>
          <w:rFonts w:ascii="Arial" w:hAnsi="Arial" w:cs="Arial"/>
        </w:rPr>
        <w:t xml:space="preserve">The primary dataset for this analysis is the </w:t>
      </w:r>
      <w:r w:rsidR="00684244">
        <w:rPr>
          <w:rFonts w:ascii="Arial" w:hAnsi="Arial" w:cs="Arial"/>
        </w:rPr>
        <w:t xml:space="preserve">COBE </w:t>
      </w:r>
      <w:r w:rsidR="00684244" w:rsidRPr="00684244">
        <w:rPr>
          <w:rFonts w:ascii="Arial" w:hAnsi="Arial" w:cs="Arial"/>
        </w:rPr>
        <w:t>Sea Surface Temperature</w:t>
      </w:r>
      <w:r w:rsidR="00684244" w:rsidRPr="00684244">
        <w:rPr>
          <w:rFonts w:ascii="Arial" w:hAnsi="Arial" w:cs="Arial"/>
        </w:rPr>
        <w:t xml:space="preserve"> </w:t>
      </w:r>
      <w:r w:rsidR="00684244">
        <w:rPr>
          <w:rFonts w:ascii="Arial" w:hAnsi="Arial" w:cs="Arial"/>
        </w:rPr>
        <w:t xml:space="preserve">Dataset </w:t>
      </w:r>
      <w:r w:rsidR="00684244" w:rsidRPr="00684244">
        <w:rPr>
          <w:rFonts w:ascii="Arial" w:hAnsi="Arial" w:cs="Arial"/>
        </w:rPr>
        <w:t xml:space="preserve">from the Japanese </w:t>
      </w:r>
      <w:r w:rsidR="00684244" w:rsidRPr="00684244">
        <w:rPr>
          <w:rFonts w:ascii="Arial" w:hAnsi="Arial" w:cs="Arial"/>
        </w:rPr>
        <w:t>Meteorological</w:t>
      </w:r>
      <w:r w:rsidR="00684244" w:rsidRPr="00684244">
        <w:rPr>
          <w:rFonts w:ascii="Arial" w:hAnsi="Arial" w:cs="Arial"/>
        </w:rPr>
        <w:t xml:space="preserve"> Center (‌Ishii</w:t>
      </w:r>
      <w:r w:rsidR="00684244">
        <w:rPr>
          <w:rFonts w:ascii="Arial" w:hAnsi="Arial" w:cs="Arial"/>
        </w:rPr>
        <w:t xml:space="preserve"> </w:t>
      </w:r>
      <w:r w:rsidRPr="00A75688">
        <w:rPr>
          <w:rFonts w:ascii="Arial" w:hAnsi="Arial" w:cs="Arial"/>
        </w:rPr>
        <w:t>et al.</w:t>
      </w:r>
      <w:r w:rsidR="00684244">
        <w:rPr>
          <w:rFonts w:ascii="Arial" w:hAnsi="Arial" w:cs="Arial"/>
        </w:rPr>
        <w:t xml:space="preserve">, </w:t>
      </w:r>
      <w:r w:rsidRPr="00A75688">
        <w:rPr>
          <w:rFonts w:ascii="Arial" w:hAnsi="Arial" w:cs="Arial"/>
        </w:rPr>
        <w:t>2005</w:t>
      </w:r>
      <w:r w:rsidR="00684244">
        <w:rPr>
          <w:rFonts w:ascii="Arial" w:hAnsi="Arial" w:cs="Arial"/>
        </w:rPr>
        <w:t>)</w:t>
      </w:r>
      <w:r w:rsidRPr="00A75688">
        <w:rPr>
          <w:rFonts w:ascii="Arial" w:hAnsi="Arial" w:cs="Arial"/>
        </w:rPr>
        <w:t>, which spans from 1980 to 2019 at monthly resolution. This dataset covers the global oceans on a regular 1.0° latitude by 1.0° longitude grid, providing 360 grid points in the zonal (east–west) direction and 180 grid points in the meridional (north–south) direction, extending from 89.5°N to 89.5°S and 0.5°E to 359.5°E. The SST is taken at sea level, and the dataset is updated monthly.</w:t>
      </w:r>
    </w:p>
    <w:p w14:paraId="3ACA9C38" w14:textId="57019F04" w:rsidR="00A75688" w:rsidRPr="00A75688" w:rsidRDefault="00A75688" w:rsidP="00A75688">
      <w:pPr>
        <w:spacing w:after="160"/>
        <w:rPr>
          <w:rFonts w:ascii="Arial" w:hAnsi="Arial" w:cs="Arial"/>
        </w:rPr>
      </w:pPr>
      <w:r w:rsidRPr="00A75688">
        <w:rPr>
          <w:rFonts w:ascii="Arial" w:hAnsi="Arial" w:cs="Arial"/>
        </w:rPr>
        <w:t>As part of the analysis, I also utilize the Niño 3.4 index obtained from the NOAA Physical Sciences Laboratory (PSL), where the Niño 3.4 region (5°N–5°S, 170°W–120°W) serves as a standard measure for monitoring the El Niño–Southern Oscillation (ENSO). The index is typically calculated by applying a 5</w:t>
      </w:r>
      <w:r w:rsidRPr="00A75688">
        <w:rPr>
          <w:rFonts w:ascii="Cambria Math" w:hAnsi="Cambria Math" w:cs="Cambria Math"/>
        </w:rPr>
        <w:t>‐</w:t>
      </w:r>
      <w:r w:rsidRPr="00A75688">
        <w:rPr>
          <w:rFonts w:ascii="Arial" w:hAnsi="Arial" w:cs="Arial"/>
        </w:rPr>
        <w:t xml:space="preserve">month running mean to the SST anomalies in that region; El Niño or La Niña conditions are defined when Niño 3.4 </w:t>
      </w:r>
      <w:r w:rsidRPr="00A75688">
        <w:rPr>
          <w:rFonts w:ascii="Arial" w:hAnsi="Arial" w:cs="Arial"/>
        </w:rPr>
        <w:lastRenderedPageBreak/>
        <w:t>anomalies exceed ±</w:t>
      </w:r>
      <w:r w:rsidR="00D427C7">
        <w:rPr>
          <w:rFonts w:ascii="Arial" w:hAnsi="Arial" w:cs="Arial"/>
        </w:rPr>
        <w:t xml:space="preserve"> </w:t>
      </w:r>
      <w:r w:rsidRPr="00A75688">
        <w:rPr>
          <w:rFonts w:ascii="Arial" w:hAnsi="Arial" w:cs="Arial"/>
        </w:rPr>
        <w:t>0.4 °C for six consecutive months or more. This index, therefore, provides a well</w:t>
      </w:r>
      <w:r w:rsidRPr="00A75688">
        <w:rPr>
          <w:rFonts w:ascii="Cambria Math" w:hAnsi="Cambria Math" w:cs="Cambria Math"/>
        </w:rPr>
        <w:t>‐</w:t>
      </w:r>
      <w:r w:rsidRPr="00A75688">
        <w:rPr>
          <w:rFonts w:ascii="Arial" w:hAnsi="Arial" w:cs="Arial"/>
        </w:rPr>
        <w:t>established benchmark for correlating principal component time series with known interannual tropical Pacific variability.</w:t>
      </w:r>
    </w:p>
    <w:p w14:paraId="7EF51F35" w14:textId="37F211EE" w:rsidR="003253B5" w:rsidRPr="003253B5" w:rsidRDefault="003253B5" w:rsidP="00A75688">
      <w:pPr>
        <w:spacing w:after="160"/>
        <w:rPr>
          <w:rFonts w:ascii="Arial" w:hAnsi="Arial" w:cs="Arial"/>
          <w:b/>
          <w:bCs/>
        </w:rPr>
      </w:pPr>
      <w:r w:rsidRPr="003253B5">
        <w:rPr>
          <w:rFonts w:ascii="Arial" w:hAnsi="Arial" w:cs="Arial"/>
          <w:b/>
          <w:bCs/>
        </w:rPr>
        <w:t>2.</w:t>
      </w:r>
      <w:r w:rsidRPr="00C71531">
        <w:rPr>
          <w:rFonts w:ascii="Arial" w:hAnsi="Arial" w:cs="Arial"/>
          <w:b/>
          <w:bCs/>
        </w:rPr>
        <w:t>2 Preprocessing</w:t>
      </w:r>
    </w:p>
    <w:p w14:paraId="605179CA" w14:textId="1E651464" w:rsidR="00C71531" w:rsidRPr="00C71531" w:rsidRDefault="00D346F6" w:rsidP="00A75688">
      <w:pPr>
        <w:spacing w:after="160"/>
        <w:rPr>
          <w:rFonts w:ascii="Arial" w:hAnsi="Arial" w:cs="Arial"/>
        </w:rPr>
      </w:pPr>
      <w:r w:rsidRPr="00A75688">
        <w:rPr>
          <w:rFonts w:ascii="Arial" w:hAnsi="Arial" w:cs="Arial"/>
        </w:rPr>
        <w:t xml:space="preserve">I </w:t>
      </w:r>
      <w:r w:rsidR="00C71531" w:rsidRPr="00C71531">
        <w:rPr>
          <w:rFonts w:ascii="Arial" w:hAnsi="Arial" w:cs="Arial"/>
        </w:rPr>
        <w:t xml:space="preserve">begin by extracting the sea surface temperature (SST) variable from the original dataset, ensuring that it is properly indexed by time, latitude, and longitude. To account for the changing geographic area associated with each latitude, </w:t>
      </w:r>
      <w:r w:rsidRPr="00A75688">
        <w:rPr>
          <w:rFonts w:ascii="Arial" w:hAnsi="Arial" w:cs="Arial"/>
        </w:rPr>
        <w:t xml:space="preserve">I </w:t>
      </w:r>
      <w:r w:rsidR="00C71531" w:rsidRPr="00C71531">
        <w:rPr>
          <w:rFonts w:ascii="Arial" w:hAnsi="Arial" w:cs="Arial"/>
        </w:rPr>
        <w:t>compute a latitude</w:t>
      </w:r>
      <w:r w:rsidR="00C71531" w:rsidRPr="00C71531">
        <w:rPr>
          <w:rFonts w:ascii="Cambria Math" w:hAnsi="Cambria Math" w:cs="Cambria Math"/>
        </w:rPr>
        <w:t>‐</w:t>
      </w:r>
      <w:r w:rsidR="00C71531" w:rsidRPr="00C71531">
        <w:rPr>
          <w:rFonts w:ascii="Arial" w:hAnsi="Arial" w:cs="Arial"/>
        </w:rPr>
        <w:t xml:space="preserve">dependent weight given by </w:t>
      </w:r>
      <m:oMath>
        <m:r>
          <w:rPr>
            <w:rFonts w:ascii="Cambria Math" w:hAnsi="Cambria Math" w:cs="Arial"/>
          </w:rPr>
          <m:t>W(s)=</m:t>
        </m:r>
        <m:r>
          <w:rPr>
            <w:rFonts w:ascii="Cambria Math" w:hAnsi="Cambria Math" w:cs="Arial"/>
          </w:rPr>
          <m:t>√</m:t>
        </m:r>
        <m:r>
          <w:rPr>
            <w:rFonts w:ascii="Cambria Math" w:hAnsi="Cambria Math" w:cs="Arial"/>
          </w:rPr>
          <m:t>cos⁡(φ)</m:t>
        </m:r>
      </m:oMath>
      <w:r w:rsidR="00C71531" w:rsidRPr="00C71531">
        <w:rPr>
          <w:rFonts w:ascii="Arial" w:hAnsi="Arial" w:cs="Arial"/>
        </w:rPr>
        <w:t xml:space="preserve">​, where </w:t>
      </w:r>
      <m:oMath>
        <m:r>
          <w:rPr>
            <w:rFonts w:ascii="Cambria Math" w:hAnsi="Cambria Math" w:cs="Arial"/>
          </w:rPr>
          <m:t>φ</m:t>
        </m:r>
      </m:oMath>
      <w:r w:rsidR="00EC558C" w:rsidRPr="00A75688">
        <w:rPr>
          <w:rFonts w:ascii="Arial" w:hAnsi="Arial" w:cs="Arial"/>
          <w:iCs/>
        </w:rPr>
        <w:t xml:space="preserve"> </w:t>
      </w:r>
      <w:r w:rsidR="00C71531" w:rsidRPr="00C71531">
        <w:rPr>
          <w:rFonts w:ascii="Arial" w:hAnsi="Arial" w:cs="Arial"/>
        </w:rPr>
        <w:t>is the latitude in radians. These weights are expanded to three dimensions so that each spatiotemporal SST field can be multiplied point</w:t>
      </w:r>
      <w:r w:rsidR="00C71531" w:rsidRPr="00C71531">
        <w:rPr>
          <w:rFonts w:ascii="Cambria Math" w:hAnsi="Cambria Math" w:cs="Cambria Math"/>
        </w:rPr>
        <w:t>‐</w:t>
      </w:r>
      <w:r w:rsidR="00C71531" w:rsidRPr="00C71531">
        <w:rPr>
          <w:rFonts w:ascii="Arial" w:hAnsi="Arial" w:cs="Arial"/>
        </w:rPr>
        <w:t>by</w:t>
      </w:r>
      <w:r w:rsidR="00C71531" w:rsidRPr="00C71531">
        <w:rPr>
          <w:rFonts w:ascii="Cambria Math" w:hAnsi="Cambria Math" w:cs="Cambria Math"/>
        </w:rPr>
        <w:t>‐</w:t>
      </w:r>
      <w:r w:rsidR="00C71531" w:rsidRPr="00C71531">
        <w:rPr>
          <w:rFonts w:ascii="Arial" w:hAnsi="Arial" w:cs="Arial"/>
        </w:rPr>
        <w:t>point by the corresponding weight, thus placing appropriate emphasis on lower latitudes (small grid</w:t>
      </w:r>
      <w:r w:rsidR="00C71531" w:rsidRPr="00C71531">
        <w:rPr>
          <w:rFonts w:ascii="Cambria Math" w:hAnsi="Cambria Math" w:cs="Cambria Math"/>
        </w:rPr>
        <w:t>‐</w:t>
      </w:r>
      <w:r w:rsidR="00C71531" w:rsidRPr="00C71531">
        <w:rPr>
          <w:rFonts w:ascii="Arial" w:hAnsi="Arial" w:cs="Arial"/>
        </w:rPr>
        <w:t>cell areas) versus higher latitudes (larger grid</w:t>
      </w:r>
      <w:r w:rsidR="00C71531" w:rsidRPr="00C71531">
        <w:rPr>
          <w:rFonts w:ascii="Cambria Math" w:hAnsi="Cambria Math" w:cs="Cambria Math"/>
        </w:rPr>
        <w:t>‐</w:t>
      </w:r>
      <w:r w:rsidR="00C71531" w:rsidRPr="00C71531">
        <w:rPr>
          <w:rFonts w:ascii="Arial" w:hAnsi="Arial" w:cs="Arial"/>
        </w:rPr>
        <w:t>cell areas).</w:t>
      </w:r>
    </w:p>
    <w:p w14:paraId="30BA2010" w14:textId="78D0BD74" w:rsidR="00C71531" w:rsidRPr="00C71531" w:rsidRDefault="00C71531" w:rsidP="00A75688">
      <w:pPr>
        <w:spacing w:after="160"/>
        <w:rPr>
          <w:rFonts w:ascii="Arial" w:hAnsi="Arial" w:cs="Arial"/>
        </w:rPr>
      </w:pPr>
      <w:r w:rsidRPr="00C71531">
        <w:rPr>
          <w:rFonts w:ascii="Arial" w:hAnsi="Arial" w:cs="Arial"/>
        </w:rPr>
        <w:t xml:space="preserve">Next, a mean seasonal cycle or monthly climatology is calculated by grouping all SST values by month of the year and taking the mean over the full record. Subtracting this monthly climatology from the original data removes the seasonal cycle, yielding a deseasonalized SST field. At this stage, </w:t>
      </w:r>
      <w:r w:rsidR="00D346F6" w:rsidRPr="00A75688">
        <w:rPr>
          <w:rFonts w:ascii="Arial" w:hAnsi="Arial" w:cs="Arial"/>
        </w:rPr>
        <w:t xml:space="preserve">I </w:t>
      </w:r>
      <w:r w:rsidRPr="00C71531">
        <w:rPr>
          <w:rFonts w:ascii="Arial" w:hAnsi="Arial" w:cs="Arial"/>
        </w:rPr>
        <w:t>apply the latitude weighting so that the deseasonalized data are scaled accordingly in each grid cell. Any missing values are then handled using a linear interpolation in the time dimension, thus reducing potential gaps in the dataset.</w:t>
      </w:r>
    </w:p>
    <w:p w14:paraId="3A8F0372" w14:textId="743E3D08" w:rsidR="00C71531" w:rsidRPr="00C71531" w:rsidRDefault="00C71531" w:rsidP="00A75688">
      <w:pPr>
        <w:spacing w:after="160"/>
        <w:rPr>
          <w:rFonts w:ascii="Arial" w:hAnsi="Arial" w:cs="Arial"/>
        </w:rPr>
      </w:pPr>
      <w:r w:rsidRPr="00C71531">
        <w:rPr>
          <w:rFonts w:ascii="Arial" w:hAnsi="Arial" w:cs="Arial"/>
        </w:rPr>
        <w:t xml:space="preserve">Finally, </w:t>
      </w:r>
      <w:r w:rsidR="00D346F6" w:rsidRPr="00A75688">
        <w:rPr>
          <w:rFonts w:ascii="Arial" w:hAnsi="Arial" w:cs="Arial"/>
        </w:rPr>
        <w:t xml:space="preserve">I </w:t>
      </w:r>
      <w:r w:rsidRPr="00C71531">
        <w:rPr>
          <w:rFonts w:ascii="Arial" w:hAnsi="Arial" w:cs="Arial"/>
        </w:rPr>
        <w:t>reshape the resulting three</w:t>
      </w:r>
      <w:r w:rsidRPr="00C71531">
        <w:rPr>
          <w:rFonts w:ascii="Cambria Math" w:hAnsi="Cambria Math" w:cs="Cambria Math"/>
        </w:rPr>
        <w:t>‐</w:t>
      </w:r>
      <w:r w:rsidRPr="00C71531">
        <w:rPr>
          <w:rFonts w:ascii="Arial" w:hAnsi="Arial" w:cs="Arial"/>
        </w:rPr>
        <w:t>dimensional array (with coordinates of time, latitude, and longitude) into a two</w:t>
      </w:r>
      <w:r w:rsidRPr="00C71531">
        <w:rPr>
          <w:rFonts w:ascii="Cambria Math" w:hAnsi="Cambria Math" w:cs="Cambria Math"/>
        </w:rPr>
        <w:t>‐</w:t>
      </w:r>
      <w:r w:rsidRPr="00C71531">
        <w:rPr>
          <w:rFonts w:ascii="Arial" w:hAnsi="Arial" w:cs="Arial"/>
        </w:rPr>
        <w:t xml:space="preserve">dimensional matrix of size </w:t>
      </w:r>
      <m:oMath>
        <m:r>
          <w:rPr>
            <w:rFonts w:ascii="Cambria Math" w:hAnsi="Cambria Math" w:cs="Arial"/>
          </w:rPr>
          <m:t>(T×S</m:t>
        </m:r>
      </m:oMath>
      <w:r w:rsidRPr="00C71531">
        <w:rPr>
          <w:rFonts w:ascii="Arial" w:hAnsi="Arial" w:cs="Arial"/>
        </w:rPr>
        <w:t xml:space="preserve">), where </w:t>
      </w:r>
      <m:oMath>
        <m:r>
          <w:rPr>
            <w:rFonts w:ascii="Cambria Math" w:hAnsi="Cambria Math" w:cs="Arial"/>
          </w:rPr>
          <m:t>T</m:t>
        </m:r>
      </m:oMath>
      <w:r w:rsidRPr="00C71531">
        <w:rPr>
          <w:rFonts w:ascii="Arial" w:hAnsi="Arial" w:cs="Arial"/>
        </w:rPr>
        <w:t xml:space="preserve"> is the total number of time steps and </w:t>
      </w:r>
      <m:oMath>
        <m:r>
          <w:rPr>
            <w:rFonts w:ascii="Cambria Math" w:hAnsi="Cambria Math" w:cs="Arial"/>
          </w:rPr>
          <m:t>S</m:t>
        </m:r>
      </m:oMath>
      <w:r w:rsidRPr="00C71531">
        <w:rPr>
          <w:rFonts w:ascii="Arial" w:hAnsi="Arial" w:cs="Arial"/>
        </w:rPr>
        <w:t xml:space="preserve"> is the product of the latitudinal and longitudinal grid sizes. This new matrix form is suitable for EOF computation in the subsequent steps.</w:t>
      </w:r>
    </w:p>
    <w:p w14:paraId="28C05815" w14:textId="77777777" w:rsidR="00C71531" w:rsidRPr="00C71531" w:rsidRDefault="00C71531" w:rsidP="00A75688">
      <w:pPr>
        <w:spacing w:after="160"/>
        <w:rPr>
          <w:rFonts w:ascii="Arial" w:hAnsi="Arial" w:cs="Arial"/>
          <w:b/>
          <w:bCs/>
        </w:rPr>
      </w:pPr>
      <w:r w:rsidRPr="00C71531">
        <w:rPr>
          <w:rFonts w:ascii="Arial" w:hAnsi="Arial" w:cs="Arial"/>
          <w:b/>
          <w:bCs/>
        </w:rPr>
        <w:t>2.3 EOF Computation</w:t>
      </w:r>
    </w:p>
    <w:p w14:paraId="3301B622" w14:textId="041E74A2" w:rsidR="00C71531" w:rsidRPr="00C71531" w:rsidRDefault="00C71531" w:rsidP="00A75688">
      <w:pPr>
        <w:spacing w:after="160"/>
        <w:rPr>
          <w:rFonts w:ascii="Arial" w:hAnsi="Arial" w:cs="Arial"/>
        </w:rPr>
      </w:pPr>
      <w:r w:rsidRPr="00C71531">
        <w:rPr>
          <w:rFonts w:ascii="Arial" w:hAnsi="Arial" w:cs="Arial"/>
        </w:rPr>
        <w:t xml:space="preserve">The first step is to construct the spatial covariance matrix, </w:t>
      </w:r>
      <m:oMath>
        <m:r>
          <w:rPr>
            <w:rFonts w:ascii="Cambria Math" w:hAnsi="Cambria Math" w:cs="Arial"/>
          </w:rPr>
          <m:t>C</m:t>
        </m:r>
      </m:oMath>
      <w:r w:rsidRPr="00C71531">
        <w:rPr>
          <w:rFonts w:ascii="Arial" w:hAnsi="Arial" w:cs="Arial"/>
        </w:rPr>
        <w:t xml:space="preserve">, from the data matrix </w:t>
      </w:r>
      <m:oMath>
        <m:r>
          <w:rPr>
            <w:rFonts w:ascii="Cambria Math" w:hAnsi="Cambria Math" w:cs="Arial"/>
          </w:rPr>
          <m:t>X</m:t>
        </m:r>
      </m:oMath>
      <w:r w:rsidRPr="00C71531">
        <w:rPr>
          <w:rFonts w:ascii="Arial" w:hAnsi="Arial" w:cs="Arial"/>
        </w:rPr>
        <w:t xml:space="preserve"> of size </w:t>
      </w:r>
      <m:oMath>
        <m:r>
          <w:rPr>
            <w:rFonts w:ascii="Cambria Math" w:hAnsi="Cambria Math" w:cs="Arial"/>
          </w:rPr>
          <m:t>(T×S</m:t>
        </m:r>
      </m:oMath>
      <w:r w:rsidRPr="00C71531">
        <w:rPr>
          <w:rFonts w:ascii="Arial" w:eastAsiaTheme="majorEastAsia" w:hAnsi="Arial" w:cs="Arial"/>
        </w:rPr>
        <w:t>)</w:t>
      </w:r>
      <w:r w:rsidRPr="00C71531">
        <w:rPr>
          <w:rFonts w:ascii="Arial" w:hAnsi="Arial" w:cs="Arial"/>
        </w:rPr>
        <w:t xml:space="preserve">, where </w:t>
      </w:r>
      <m:oMath>
        <m:r>
          <w:rPr>
            <w:rFonts w:ascii="Cambria Math" w:hAnsi="Cambria Math" w:cs="Arial"/>
          </w:rPr>
          <m:t>T</m:t>
        </m:r>
      </m:oMath>
      <w:r w:rsidRPr="00C71531">
        <w:rPr>
          <w:rFonts w:ascii="Arial" w:hAnsi="Arial" w:cs="Arial"/>
        </w:rPr>
        <w:t xml:space="preserve"> represents the number of time steps and </w:t>
      </w:r>
      <m:oMath>
        <m:r>
          <w:rPr>
            <w:rFonts w:ascii="Cambria Math" w:hAnsi="Cambria Math" w:cs="Arial"/>
          </w:rPr>
          <m:t>S</m:t>
        </m:r>
      </m:oMath>
      <w:r w:rsidRPr="00C71531">
        <w:rPr>
          <w:rFonts w:ascii="Arial" w:hAnsi="Arial" w:cs="Arial"/>
        </w:rPr>
        <w:t xml:space="preserve"> the number of spatial points. This data matrix contains anomalies (after any preprocessing such as seasonal cycle removal and latitude weighting). The covariance matrix is given by</w:t>
      </w:r>
      <w:r w:rsidRPr="00A75688">
        <w:rPr>
          <w:rFonts w:ascii="Arial" w:hAnsi="Arial" w:cs="Arial"/>
        </w:rPr>
        <w:t xml:space="preserve"> </w:t>
      </w:r>
      <m:oMath>
        <m:r>
          <m:rPr>
            <m:sty m:val="b"/>
          </m:rPr>
          <w:rPr>
            <w:rFonts w:ascii="Cambria Math" w:hAnsi="Cambria Math" w:cs="Arial"/>
          </w:rPr>
          <m:t>C</m:t>
        </m:r>
        <m:r>
          <w:rPr>
            <w:rFonts w:ascii="Cambria Math" w:hAnsi="Cambria Math" w:cs="Arial"/>
          </w:rPr>
          <m:t>  =  </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T</m:t>
            </m:r>
            <m:r>
              <w:rPr>
                <w:rFonts w:ascii="Cambria Math" w:hAnsi="Cambria Math" w:cs="Arial"/>
              </w:rPr>
              <m:t> - 1</m:t>
            </m:r>
            <m:ctrlPr>
              <w:rPr>
                <w:rFonts w:ascii="Cambria Math" w:hAnsi="Cambria Math" w:cs="Arial"/>
                <w:i/>
              </w:rPr>
            </m:ctrlPr>
          </m:den>
        </m:f>
        <m:r>
          <w:rPr>
            <w:rFonts w:ascii="Cambria Math" w:hAnsi="Cambria Math" w:cs="Arial"/>
          </w:rPr>
          <m:t> </m:t>
        </m:r>
        <m:sSup>
          <m:sSupPr>
            <m:ctrlPr>
              <w:rPr>
                <w:rFonts w:ascii="Cambria Math" w:hAnsi="Cambria Math" w:cs="Arial"/>
                <w:i/>
              </w:rPr>
            </m:ctrlPr>
          </m:sSupPr>
          <m:e>
            <m:r>
              <m:rPr>
                <m:sty m:val="b"/>
              </m:rPr>
              <w:rPr>
                <w:rFonts w:ascii="Cambria Math" w:hAnsi="Cambria Math" w:cs="Arial"/>
              </w:rPr>
              <m:t>X</m:t>
            </m:r>
          </m:e>
          <m:sup>
            <m:r>
              <m:rPr>
                <m:sty m:val="b"/>
              </m:rPr>
              <w:rPr>
                <w:rFonts w:ascii="Cambria Math" w:hAnsi="Cambria Math" w:cs="Arial"/>
              </w:rPr>
              <m:t>T</m:t>
            </m:r>
          </m:sup>
        </m:sSup>
        <m:r>
          <w:rPr>
            <w:rFonts w:ascii="Cambria Math" w:hAnsi="Cambria Math" w:cs="Arial"/>
          </w:rPr>
          <m:t> </m:t>
        </m:r>
        <m:r>
          <m:rPr>
            <m:sty m:val="b"/>
          </m:rPr>
          <w:rPr>
            <w:rFonts w:ascii="Cambria Math" w:hAnsi="Cambria Math" w:cs="Arial"/>
          </w:rPr>
          <m:t>X</m:t>
        </m:r>
      </m:oMath>
      <w:r w:rsidRPr="00A75688">
        <w:rPr>
          <w:rFonts w:ascii="Arial" w:hAnsi="Arial" w:cs="Arial"/>
        </w:rPr>
        <w:t xml:space="preserve">, </w:t>
      </w:r>
      <w:r w:rsidRPr="00C71531">
        <w:rPr>
          <w:rFonts w:ascii="Arial" w:hAnsi="Arial" w:cs="Arial"/>
        </w:rPr>
        <w:t xml:space="preserve">which has dimensions </w:t>
      </w:r>
      <m:oMath>
        <m:d>
          <m:dPr>
            <m:ctrlPr>
              <w:rPr>
                <w:rFonts w:ascii="Cambria Math" w:hAnsi="Cambria Math" w:cs="Arial"/>
                <w:i/>
              </w:rPr>
            </m:ctrlPr>
          </m:dPr>
          <m:e>
            <m:r>
              <w:rPr>
                <w:rFonts w:ascii="Cambria Math" w:hAnsi="Cambria Math" w:cs="Arial"/>
              </w:rPr>
              <m:t>S</m:t>
            </m:r>
            <m:r>
              <m:rPr>
                <m:sty m:val="p"/>
              </m:rPr>
              <w:rPr>
                <w:rFonts w:ascii="Cambria Math" w:hAnsi="Cambria Math" w:cs="Arial"/>
              </w:rPr>
              <m:t>×</m:t>
            </m:r>
            <m:r>
              <w:rPr>
                <w:rFonts w:ascii="Cambria Math" w:hAnsi="Cambria Math" w:cs="Arial"/>
              </w:rPr>
              <m:t>S</m:t>
            </m:r>
          </m:e>
        </m:d>
        <m:r>
          <w:rPr>
            <w:rFonts w:ascii="Cambria Math" w:hAnsi="Cambria Math" w:cs="Arial"/>
          </w:rPr>
          <m:t>. </m:t>
        </m:r>
      </m:oMath>
      <w:r w:rsidRPr="00C71531">
        <w:rPr>
          <w:rFonts w:ascii="Arial" w:hAnsi="Arial" w:cs="Arial"/>
        </w:rPr>
        <w:t xml:space="preserve">Each entry in </w:t>
      </w:r>
      <m:oMath>
        <m:r>
          <m:rPr>
            <m:sty m:val="b"/>
          </m:rPr>
          <w:rPr>
            <w:rFonts w:ascii="Cambria Math" w:hAnsi="Cambria Math" w:cs="Arial"/>
          </w:rPr>
          <m:t>C</m:t>
        </m:r>
      </m:oMath>
      <w:r w:rsidR="00EC558C" w:rsidRPr="00A75688">
        <w:rPr>
          <w:rFonts w:ascii="Arial" w:hAnsi="Arial" w:cs="Arial"/>
        </w:rPr>
        <w:t xml:space="preserve"> </w:t>
      </w:r>
      <w:r w:rsidRPr="00C71531">
        <w:rPr>
          <w:rFonts w:ascii="Arial" w:hAnsi="Arial" w:cs="Arial"/>
        </w:rPr>
        <w:t>measures how variations at two spatial points co</w:t>
      </w:r>
      <w:r w:rsidRPr="00C71531">
        <w:rPr>
          <w:rFonts w:ascii="Cambria Math" w:hAnsi="Cambria Math" w:cs="Cambria Math"/>
        </w:rPr>
        <w:t>‐</w:t>
      </w:r>
      <w:r w:rsidRPr="00C71531">
        <w:rPr>
          <w:rFonts w:ascii="Arial" w:hAnsi="Arial" w:cs="Arial"/>
        </w:rPr>
        <w:t>vary over time.</w:t>
      </w:r>
    </w:p>
    <w:p w14:paraId="5E15E975" w14:textId="391C7C3B" w:rsidR="00C71531" w:rsidRPr="00C71531" w:rsidRDefault="00C71531" w:rsidP="00A75688">
      <w:pPr>
        <w:spacing w:after="160"/>
        <w:rPr>
          <w:rFonts w:ascii="Arial" w:hAnsi="Arial" w:cs="Arial"/>
        </w:rPr>
      </w:pPr>
      <w:r w:rsidRPr="00C71531">
        <w:rPr>
          <w:rFonts w:ascii="Arial" w:hAnsi="Arial" w:cs="Arial"/>
        </w:rPr>
        <w:t xml:space="preserve">To extract modes of variability, </w:t>
      </w:r>
      <w:r w:rsidR="00D346F6" w:rsidRPr="00A75688">
        <w:rPr>
          <w:rFonts w:ascii="Arial" w:hAnsi="Arial" w:cs="Arial"/>
        </w:rPr>
        <w:t xml:space="preserve">I </w:t>
      </w:r>
      <w:r w:rsidRPr="00C71531">
        <w:rPr>
          <w:rFonts w:ascii="Arial" w:hAnsi="Arial" w:cs="Arial"/>
        </w:rPr>
        <w:t>solve the eigenvalue problem</w:t>
      </w:r>
      <m:oMath>
        <m:r>
          <w:rPr>
            <w:rFonts w:ascii="Cambria Math" w:hAnsi="Cambria Math" w:cs="Arial"/>
          </w:rPr>
          <m:t xml:space="preserve"> </m:t>
        </m:r>
        <m:r>
          <w:rPr>
            <w:rFonts w:ascii="Cambria Math" w:hAnsi="Cambria Math" w:cs="Arial"/>
          </w:rPr>
          <m:t>C U=U </m:t>
        </m:r>
        <m:r>
          <m:rPr>
            <m:sty m:val="p"/>
          </m:rPr>
          <w:rPr>
            <w:rFonts w:ascii="Cambria Math" w:hAnsi="Cambria Math" w:cs="Arial"/>
          </w:rPr>
          <m:t>Λ</m:t>
        </m:r>
      </m:oMath>
      <w:r w:rsidR="00D346F6" w:rsidRPr="00A75688">
        <w:rPr>
          <w:rFonts w:ascii="Arial" w:hAnsi="Arial" w:cs="Arial"/>
        </w:rPr>
        <w:t xml:space="preserve">, </w:t>
      </w:r>
      <w:r w:rsidRPr="00C71531">
        <w:rPr>
          <w:rFonts w:ascii="Arial" w:hAnsi="Arial" w:cs="Arial"/>
        </w:rPr>
        <w:t xml:space="preserve">where </w:t>
      </w:r>
      <m:oMath>
        <m:r>
          <m:rPr>
            <m:sty m:val="b"/>
          </m:rPr>
          <w:rPr>
            <w:rFonts w:ascii="Cambria Math" w:eastAsiaTheme="majorEastAsia" w:hAnsi="Cambria Math" w:cs="Arial"/>
          </w:rPr>
          <m:t>U</m:t>
        </m:r>
      </m:oMath>
      <w:r w:rsidR="00D346F6" w:rsidRPr="00A75688">
        <w:rPr>
          <w:rFonts w:ascii="Arial" w:hAnsi="Arial" w:cs="Arial"/>
        </w:rPr>
        <w:t xml:space="preserve"> </w:t>
      </w:r>
      <w:r w:rsidRPr="00C71531">
        <w:rPr>
          <w:rFonts w:ascii="Arial" w:hAnsi="Arial" w:cs="Arial"/>
        </w:rPr>
        <w:t xml:space="preserve">is the </w:t>
      </w:r>
      <w:r w:rsidR="00D346F6" w:rsidRPr="00A75688">
        <w:rPr>
          <w:rFonts w:ascii="Arial" w:hAnsi="Arial" w:cs="Arial"/>
        </w:rPr>
        <w:t>matrix,</w:t>
      </w:r>
      <w:r w:rsidRPr="00C71531">
        <w:rPr>
          <w:rFonts w:ascii="Arial" w:hAnsi="Arial" w:cs="Arial"/>
        </w:rPr>
        <w:t xml:space="preserve"> whose columns are the eigenvectors, and </w:t>
      </w:r>
      <m:oMath>
        <m:r>
          <m:rPr>
            <m:sty m:val="p"/>
          </m:rPr>
          <w:rPr>
            <w:rFonts w:ascii="Cambria Math" w:eastAsiaTheme="majorEastAsia" w:hAnsi="Cambria Math" w:cs="Arial"/>
          </w:rPr>
          <m:t>Λ</m:t>
        </m:r>
      </m:oMath>
      <w:r w:rsidRPr="00C71531">
        <w:rPr>
          <w:rFonts w:ascii="Arial" w:hAnsi="Arial" w:cs="Arial"/>
        </w:rPr>
        <w:t xml:space="preserve"> is a diagonal matrix whose diagonal elements are the corresponding eigenvalues </w:t>
      </w:r>
      <m:oMath>
        <m:sSub>
          <m:sSubPr>
            <m:ctrlPr>
              <w:rPr>
                <w:rFonts w:ascii="Cambria Math" w:eastAsiaTheme="majorEastAsia" w:hAnsi="Cambria Math" w:cs="Arial"/>
                <w:i/>
              </w:rPr>
            </m:ctrlPr>
          </m:sSubPr>
          <m:e>
            <m:r>
              <m:rPr>
                <m:sty m:val="p"/>
              </m:rPr>
              <w:rPr>
                <w:rFonts w:ascii="Cambria Math" w:eastAsiaTheme="majorEastAsia" w:hAnsi="Cambria Math" w:cs="Arial"/>
              </w:rPr>
              <m:t>λ</m:t>
            </m:r>
            <m:ctrlPr>
              <w:rPr>
                <w:rFonts w:ascii="Cambria Math" w:eastAsiaTheme="majorEastAsia" w:hAnsi="Cambria Math" w:cs="Arial"/>
              </w:rPr>
            </m:ctrlPr>
          </m:e>
          <m:sub>
            <m:r>
              <w:rPr>
                <w:rFonts w:ascii="Cambria Math" w:eastAsiaTheme="majorEastAsia" w:hAnsi="Cambria Math" w:cs="Arial"/>
              </w:rPr>
              <m:t>i</m:t>
            </m:r>
          </m:sub>
        </m:sSub>
      </m:oMath>
      <w:r w:rsidRPr="00C71531">
        <w:rPr>
          <w:rFonts w:ascii="Arial" w:hAnsi="Arial" w:cs="Arial"/>
        </w:rPr>
        <w:t xml:space="preserve">​. Since </w:t>
      </w:r>
      <m:oMath>
        <m:r>
          <w:rPr>
            <w:rFonts w:ascii="Cambria Math" w:eastAsiaTheme="majorEastAsia" w:hAnsi="Cambria Math" w:cs="Arial"/>
          </w:rPr>
          <m:t>C</m:t>
        </m:r>
      </m:oMath>
      <w:r w:rsidRPr="00C71531">
        <w:rPr>
          <w:rFonts w:ascii="Arial" w:hAnsi="Arial" w:cs="Arial"/>
        </w:rPr>
        <w:t xml:space="preserve"> is a real and symmetric matrix, its eigenvalues are real and non</w:t>
      </w:r>
      <w:r w:rsidRPr="00C71531">
        <w:rPr>
          <w:rFonts w:ascii="Cambria Math" w:hAnsi="Cambria Math" w:cs="Cambria Math"/>
        </w:rPr>
        <w:t>‐</w:t>
      </w:r>
      <w:r w:rsidRPr="00C71531">
        <w:rPr>
          <w:rFonts w:ascii="Arial" w:hAnsi="Arial" w:cs="Arial"/>
        </w:rPr>
        <w:t xml:space="preserve">negative. To find these eigenvalues, one solves the characteristic equation </w:t>
      </w:r>
      <m:oMath>
        <m:func>
          <m:funcPr>
            <m:ctrlPr>
              <w:rPr>
                <w:rFonts w:ascii="Cambria Math" w:eastAsiaTheme="majorEastAsia" w:hAnsi="Cambria Math" w:cs="Arial"/>
              </w:rPr>
            </m:ctrlPr>
          </m:funcPr>
          <m:fName>
            <m:r>
              <m:rPr>
                <m:sty m:val="p"/>
              </m:rPr>
              <w:rPr>
                <w:rFonts w:ascii="Cambria Math" w:eastAsiaTheme="majorEastAsia" w:hAnsi="Cambria Math" w:cs="Arial"/>
              </w:rPr>
              <m:t>det</m:t>
            </m:r>
            <m:ctrlPr>
              <w:rPr>
                <w:rFonts w:ascii="Cambria Math" w:eastAsiaTheme="majorEastAsia" w:hAnsi="Cambria Math" w:cs="Arial"/>
                <w:i/>
              </w:rPr>
            </m:ctrlPr>
          </m:fName>
          <m:e>
            <m:d>
              <m:dPr>
                <m:ctrlPr>
                  <w:rPr>
                    <w:rFonts w:ascii="Cambria Math" w:eastAsiaTheme="majorEastAsia" w:hAnsi="Cambria Math" w:cs="Arial"/>
                    <w:i/>
                  </w:rPr>
                </m:ctrlPr>
              </m:dPr>
              <m:e>
                <m:r>
                  <w:rPr>
                    <w:rFonts w:ascii="Cambria Math" w:eastAsiaTheme="majorEastAsia" w:hAnsi="Cambria Math" w:cs="Arial"/>
                  </w:rPr>
                  <m:t>C-</m:t>
                </m:r>
                <m:r>
                  <m:rPr>
                    <m:sty m:val="p"/>
                  </m:rPr>
                  <w:rPr>
                    <w:rFonts w:ascii="Cambria Math" w:eastAsiaTheme="majorEastAsia" w:hAnsi="Cambria Math" w:cs="Arial"/>
                  </w:rPr>
                  <m:t>λ</m:t>
                </m:r>
                <m:r>
                  <w:rPr>
                    <w:rFonts w:ascii="Cambria Math" w:eastAsiaTheme="majorEastAsia" w:hAnsi="Cambria Math" w:cs="Arial"/>
                  </w:rPr>
                  <m:t>I</m:t>
                </m:r>
              </m:e>
            </m:d>
          </m:e>
        </m:func>
        <m:r>
          <w:rPr>
            <w:rFonts w:ascii="Cambria Math" w:eastAsiaTheme="majorEastAsia" w:hAnsi="Cambria Math" w:cs="Arial"/>
          </w:rPr>
          <m:t>=0</m:t>
        </m:r>
      </m:oMath>
      <w:r w:rsidRPr="00C71531">
        <w:rPr>
          <w:rFonts w:ascii="Arial" w:hAnsi="Arial" w:cs="Arial"/>
        </w:rPr>
        <w:t xml:space="preserve">, which yields </w:t>
      </w:r>
      <m:oMath>
        <m:sSub>
          <m:sSubPr>
            <m:ctrlPr>
              <w:rPr>
                <w:rFonts w:ascii="Cambria Math" w:eastAsiaTheme="majorEastAsia" w:hAnsi="Cambria Math" w:cs="Arial"/>
                <w:i/>
              </w:rPr>
            </m:ctrlPr>
          </m:sSubPr>
          <m:e>
            <m:r>
              <m:rPr>
                <m:sty m:val="p"/>
              </m:rPr>
              <w:rPr>
                <w:rFonts w:ascii="Cambria Math" w:eastAsiaTheme="majorEastAsia" w:hAnsi="Cambria Math" w:cs="Arial"/>
              </w:rPr>
              <m:t>λ</m:t>
            </m:r>
            <m:ctrlPr>
              <w:rPr>
                <w:rFonts w:ascii="Cambria Math" w:eastAsiaTheme="majorEastAsia" w:hAnsi="Cambria Math" w:cs="Arial"/>
              </w:rPr>
            </m:ctrlPr>
          </m:e>
          <m:sub>
            <m:r>
              <w:rPr>
                <w:rFonts w:ascii="Cambria Math" w:eastAsiaTheme="majorEastAsia" w:hAnsi="Cambria Math" w:cs="Arial"/>
              </w:rPr>
              <m:t>i</m:t>
            </m:r>
          </m:sub>
        </m:sSub>
      </m:oMath>
      <w:r w:rsidR="00194EDF" w:rsidRPr="00A75688">
        <w:rPr>
          <w:rFonts w:ascii="Arial" w:hAnsi="Arial" w:cs="Arial"/>
        </w:rPr>
        <w:t>.</w:t>
      </w:r>
      <w:r w:rsidRPr="00C71531">
        <w:rPr>
          <w:rFonts w:ascii="Arial" w:hAnsi="Arial" w:cs="Arial"/>
        </w:rPr>
        <w:t xml:space="preserve"> Each eigenvector </w:t>
      </w:r>
      <m:oMath>
        <m:sSub>
          <m:sSubPr>
            <m:ctrlPr>
              <w:rPr>
                <w:rFonts w:ascii="Cambria Math" w:eastAsiaTheme="majorEastAsia" w:hAnsi="Cambria Math" w:cs="Arial"/>
                <w:i/>
              </w:rPr>
            </m:ctrlPr>
          </m:sSubPr>
          <m:e>
            <m:r>
              <w:rPr>
                <w:rFonts w:ascii="Cambria Math" w:eastAsiaTheme="majorEastAsia" w:hAnsi="Cambria Math" w:cs="Arial"/>
              </w:rPr>
              <m:t>u</m:t>
            </m:r>
          </m:e>
          <m:sub>
            <m:r>
              <w:rPr>
                <w:rFonts w:ascii="Cambria Math" w:eastAsiaTheme="majorEastAsia" w:hAnsi="Cambria Math" w:cs="Arial"/>
              </w:rPr>
              <m:t>i</m:t>
            </m:r>
          </m:sub>
        </m:sSub>
      </m:oMath>
      <w:r w:rsidRPr="00C71531">
        <w:rPr>
          <w:rFonts w:ascii="Arial" w:hAnsi="Arial" w:cs="Arial"/>
        </w:rPr>
        <w:t xml:space="preserve">​ is then determined by the equation </w:t>
      </w:r>
      <m:oMath>
        <m:d>
          <m:dPr>
            <m:ctrlPr>
              <w:rPr>
                <w:rFonts w:ascii="Cambria Math" w:eastAsiaTheme="majorEastAsia" w:hAnsi="Cambria Math" w:cs="Arial"/>
                <w:i/>
              </w:rPr>
            </m:ctrlPr>
          </m:dPr>
          <m:e>
            <m:r>
              <w:rPr>
                <w:rFonts w:ascii="Cambria Math" w:eastAsiaTheme="majorEastAsia" w:hAnsi="Cambria Math" w:cs="Arial"/>
              </w:rPr>
              <m:t>C-</m:t>
            </m:r>
            <m:sSub>
              <m:sSubPr>
                <m:ctrlPr>
                  <w:rPr>
                    <w:rFonts w:ascii="Cambria Math" w:eastAsiaTheme="majorEastAsia" w:hAnsi="Cambria Math" w:cs="Arial"/>
                    <w:i/>
                  </w:rPr>
                </m:ctrlPr>
              </m:sSubPr>
              <m:e>
                <m:r>
                  <m:rPr>
                    <m:sty m:val="p"/>
                  </m:rPr>
                  <w:rPr>
                    <w:rFonts w:ascii="Cambria Math" w:eastAsiaTheme="majorEastAsia" w:hAnsi="Cambria Math" w:cs="Arial"/>
                  </w:rPr>
                  <m:t>λ</m:t>
                </m:r>
              </m:e>
              <m:sub>
                <m:r>
                  <w:rPr>
                    <w:rFonts w:ascii="Cambria Math" w:eastAsiaTheme="majorEastAsia" w:hAnsi="Cambria Math" w:cs="Arial"/>
                  </w:rPr>
                  <m:t>i</m:t>
                </m:r>
              </m:sub>
            </m:sSub>
            <m:r>
              <w:rPr>
                <w:rFonts w:ascii="Cambria Math" w:eastAsiaTheme="majorEastAsia" w:hAnsi="Cambria Math" w:cs="Arial"/>
              </w:rPr>
              <m:t> I</m:t>
            </m:r>
          </m:e>
        </m:d>
        <m:r>
          <w:rPr>
            <w:rFonts w:ascii="Cambria Math" w:eastAsiaTheme="majorEastAsia" w:hAnsi="Cambria Math" w:cs="Arial"/>
          </w:rPr>
          <m:t> </m:t>
        </m:r>
        <m:sSub>
          <m:sSubPr>
            <m:ctrlPr>
              <w:rPr>
                <w:rFonts w:ascii="Cambria Math" w:eastAsiaTheme="majorEastAsia" w:hAnsi="Cambria Math" w:cs="Arial"/>
                <w:i/>
              </w:rPr>
            </m:ctrlPr>
          </m:sSubPr>
          <m:e>
            <m:r>
              <w:rPr>
                <w:rFonts w:ascii="Cambria Math" w:eastAsiaTheme="majorEastAsia" w:hAnsi="Cambria Math" w:cs="Arial"/>
              </w:rPr>
              <m:t>u</m:t>
            </m:r>
          </m:e>
          <m:sub>
            <m:r>
              <w:rPr>
                <w:rFonts w:ascii="Cambria Math" w:eastAsiaTheme="majorEastAsia" w:hAnsi="Cambria Math" w:cs="Arial"/>
              </w:rPr>
              <m:t>i</m:t>
            </m:r>
          </m:sub>
        </m:sSub>
        <m:r>
          <w:rPr>
            <w:rFonts w:ascii="Cambria Math" w:eastAsiaTheme="majorEastAsia" w:hAnsi="Cambria Math" w:cs="Arial"/>
          </w:rPr>
          <m:t>=0</m:t>
        </m:r>
      </m:oMath>
      <w:r w:rsidRPr="00C71531">
        <w:rPr>
          <w:rFonts w:ascii="Arial" w:hAnsi="Arial" w:cs="Arial"/>
        </w:rPr>
        <w:t xml:space="preserve">. By convention, the eigenvalues and eigenvectors are sorted in descending order of </w:t>
      </w:r>
      <m:oMath>
        <m:sSub>
          <m:sSubPr>
            <m:ctrlPr>
              <w:rPr>
                <w:rFonts w:ascii="Cambria Math" w:eastAsiaTheme="majorEastAsia" w:hAnsi="Cambria Math" w:cs="Arial"/>
                <w:i/>
              </w:rPr>
            </m:ctrlPr>
          </m:sSubPr>
          <m:e>
            <m:r>
              <m:rPr>
                <m:sty m:val="p"/>
              </m:rPr>
              <w:rPr>
                <w:rFonts w:ascii="Cambria Math" w:eastAsiaTheme="majorEastAsia" w:hAnsi="Cambria Math" w:cs="Arial"/>
              </w:rPr>
              <m:t>λ</m:t>
            </m:r>
            <m:ctrlPr>
              <w:rPr>
                <w:rFonts w:ascii="Cambria Math" w:eastAsiaTheme="majorEastAsia" w:hAnsi="Cambria Math" w:cs="Arial"/>
              </w:rPr>
            </m:ctrlPr>
          </m:e>
          <m:sub>
            <m:r>
              <w:rPr>
                <w:rFonts w:ascii="Cambria Math" w:eastAsiaTheme="majorEastAsia" w:hAnsi="Cambria Math" w:cs="Arial"/>
              </w:rPr>
              <m:t>i</m:t>
            </m:r>
          </m:sub>
        </m:sSub>
      </m:oMath>
      <w:r w:rsidRPr="00C71531">
        <w:rPr>
          <w:rFonts w:ascii="Arial" w:hAnsi="Arial" w:cs="Arial"/>
        </w:rPr>
        <w:t>​, ensuring that the first eigenvector and eigenvalue represent the mode with the highest variance explained.</w:t>
      </w:r>
    </w:p>
    <w:p w14:paraId="5B0DEAF5" w14:textId="594A3E4D" w:rsidR="00C71531" w:rsidRPr="00C71531" w:rsidRDefault="00C71531" w:rsidP="00A75688">
      <w:pPr>
        <w:spacing w:after="160"/>
        <w:rPr>
          <w:rFonts w:ascii="Arial" w:hAnsi="Arial" w:cs="Arial"/>
        </w:rPr>
      </w:pPr>
      <w:r w:rsidRPr="00C71531">
        <w:rPr>
          <w:rFonts w:ascii="Arial" w:hAnsi="Arial" w:cs="Arial"/>
        </w:rPr>
        <w:t xml:space="preserve">Once the eigenvector matrix </w:t>
      </w:r>
      <m:oMath>
        <m:r>
          <w:rPr>
            <w:rFonts w:ascii="Cambria Math" w:eastAsiaTheme="majorEastAsia" w:hAnsi="Cambria Math" w:cs="Arial"/>
          </w:rPr>
          <m:t>U</m:t>
        </m:r>
      </m:oMath>
      <w:r w:rsidRPr="00C71531">
        <w:rPr>
          <w:rFonts w:ascii="Arial" w:hAnsi="Arial" w:cs="Arial"/>
        </w:rPr>
        <w:t xml:space="preserve"> is obtained, </w:t>
      </w:r>
      <w:r w:rsidR="00D346F6" w:rsidRPr="00A75688">
        <w:rPr>
          <w:rFonts w:ascii="Arial" w:hAnsi="Arial" w:cs="Arial"/>
        </w:rPr>
        <w:t xml:space="preserve">I </w:t>
      </w:r>
      <w:r w:rsidRPr="00C71531">
        <w:rPr>
          <w:rFonts w:ascii="Arial" w:hAnsi="Arial" w:cs="Arial"/>
        </w:rPr>
        <w:t xml:space="preserve">compute the principal components by multiplying the original data matrix </w:t>
      </w:r>
      <m:oMath>
        <m:r>
          <w:rPr>
            <w:rFonts w:ascii="Cambria Math" w:eastAsiaTheme="majorEastAsia" w:hAnsi="Cambria Math" w:cs="Arial"/>
          </w:rPr>
          <m:t>X</m:t>
        </m:r>
      </m:oMath>
      <w:r w:rsidRPr="00C71531">
        <w:rPr>
          <w:rFonts w:ascii="Arial" w:hAnsi="Arial" w:cs="Arial"/>
        </w:rPr>
        <w:t xml:space="preserve"> by </w:t>
      </w:r>
      <m:oMath>
        <m:r>
          <w:rPr>
            <w:rFonts w:ascii="Cambria Math" w:eastAsiaTheme="majorEastAsia" w:hAnsi="Cambria Math" w:cs="Arial"/>
          </w:rPr>
          <m:t>U</m:t>
        </m:r>
      </m:oMath>
      <w:r w:rsidRPr="00C71531">
        <w:rPr>
          <w:rFonts w:ascii="Arial" w:hAnsi="Arial" w:cs="Arial"/>
        </w:rPr>
        <w:t>, namely</w:t>
      </w:r>
      <w:r w:rsidR="00D346F6" w:rsidRPr="00A75688">
        <w:rPr>
          <w:rFonts w:ascii="Arial" w:hAnsi="Arial" w:cs="Arial"/>
        </w:rPr>
        <w:t xml:space="preserve"> </w:t>
      </w:r>
      <m:oMath>
        <m:r>
          <w:rPr>
            <w:rFonts w:ascii="Cambria Math" w:eastAsiaTheme="majorEastAsia" w:hAnsi="Cambria Math" w:cs="Arial"/>
          </w:rPr>
          <m:t>PC=X U.</m:t>
        </m:r>
      </m:oMath>
    </w:p>
    <w:p w14:paraId="3FFBA98C" w14:textId="7DDBA814" w:rsidR="00C71531" w:rsidRPr="00C71531" w:rsidRDefault="00C71531" w:rsidP="00A75688">
      <w:pPr>
        <w:spacing w:after="160"/>
        <w:rPr>
          <w:rFonts w:ascii="Arial" w:hAnsi="Arial" w:cs="Arial"/>
        </w:rPr>
      </w:pPr>
      <w:r w:rsidRPr="00C71531">
        <w:rPr>
          <w:rFonts w:ascii="Arial" w:hAnsi="Arial" w:cs="Arial"/>
        </w:rPr>
        <w:lastRenderedPageBreak/>
        <w:t xml:space="preserve">Each column of </w:t>
      </w:r>
      <m:oMath>
        <m:r>
          <w:rPr>
            <w:rFonts w:ascii="Cambria Math" w:eastAsiaTheme="majorEastAsia" w:hAnsi="Cambria Math" w:cs="Arial"/>
          </w:rPr>
          <m:t>PC</m:t>
        </m:r>
      </m:oMath>
      <w:r w:rsidRPr="00C71531">
        <w:rPr>
          <w:rFonts w:ascii="Arial" w:hAnsi="Arial" w:cs="Arial"/>
        </w:rPr>
        <w:t xml:space="preserve"> is a principal component time series, also known as a PC. The corresponding column of </w:t>
      </w:r>
      <m:oMath>
        <m:r>
          <w:rPr>
            <w:rFonts w:ascii="Cambria Math" w:eastAsiaTheme="majorEastAsia" w:hAnsi="Cambria Math" w:cs="Arial"/>
          </w:rPr>
          <m:t>U</m:t>
        </m:r>
      </m:oMath>
      <w:r w:rsidRPr="00C71531">
        <w:rPr>
          <w:rFonts w:ascii="Arial" w:hAnsi="Arial" w:cs="Arial"/>
        </w:rPr>
        <w:t xml:space="preserve"> (the eigenvector) is referred to as an empirical orthogonal function or EOF. This means that for a given mode </w:t>
      </w:r>
      <m:oMath>
        <m:r>
          <w:rPr>
            <w:rFonts w:ascii="Cambria Math" w:eastAsiaTheme="majorEastAsia" w:hAnsi="Cambria Math" w:cs="Arial"/>
          </w:rPr>
          <m:t>i</m:t>
        </m:r>
      </m:oMath>
      <w:r w:rsidRPr="00C71531">
        <w:rPr>
          <w:rFonts w:ascii="Arial" w:hAnsi="Arial" w:cs="Arial"/>
        </w:rPr>
        <w:t xml:space="preserve">, </w:t>
      </w:r>
      <m:oMath>
        <m:r>
          <m:rPr>
            <m:nor/>
          </m:rPr>
          <w:rPr>
            <w:rFonts w:ascii="Cambria Math" w:eastAsiaTheme="majorEastAsia" w:hAnsi="Cambria Math" w:cs="Arial"/>
          </w:rPr>
          <m:t>PC</m:t>
        </m:r>
        <m:d>
          <m:dPr>
            <m:ctrlPr>
              <w:rPr>
                <w:rFonts w:ascii="Cambria Math" w:eastAsiaTheme="majorEastAsia" w:hAnsi="Cambria Math" w:cs="Arial"/>
                <w:i/>
              </w:rPr>
            </m:ctrlPr>
          </m:dPr>
          <m:e>
            <m:r>
              <w:rPr>
                <w:rFonts w:ascii="Cambria Math" w:eastAsiaTheme="majorEastAsia" w:hAnsi="Cambria Math" w:cs="Arial"/>
              </w:rPr>
              <m:t>:,i</m:t>
            </m:r>
          </m:e>
        </m:d>
      </m:oMath>
      <w:r w:rsidRPr="00C71531">
        <w:rPr>
          <w:rFonts w:ascii="Arial" w:hAnsi="Arial" w:cs="Arial"/>
        </w:rPr>
        <w:t xml:space="preserve"> is the time evolution and </w:t>
      </w:r>
      <m:oMath>
        <m:r>
          <w:rPr>
            <w:rFonts w:ascii="Cambria Math" w:eastAsiaTheme="majorEastAsia" w:hAnsi="Cambria Math" w:cs="Arial"/>
          </w:rPr>
          <m:t>U</m:t>
        </m:r>
        <m:d>
          <m:dPr>
            <m:ctrlPr>
              <w:rPr>
                <w:rFonts w:ascii="Cambria Math" w:eastAsiaTheme="majorEastAsia" w:hAnsi="Cambria Math" w:cs="Arial"/>
                <w:i/>
              </w:rPr>
            </m:ctrlPr>
          </m:dPr>
          <m:e>
            <m:r>
              <w:rPr>
                <w:rFonts w:ascii="Cambria Math" w:eastAsiaTheme="majorEastAsia" w:hAnsi="Cambria Math" w:cs="Arial"/>
              </w:rPr>
              <m:t>:,i</m:t>
            </m:r>
          </m:e>
        </m:d>
      </m:oMath>
      <w:r w:rsidRPr="00C71531">
        <w:rPr>
          <w:rFonts w:ascii="Arial" w:hAnsi="Arial" w:cs="Arial"/>
        </w:rPr>
        <w:t xml:space="preserve"> is the spatial pattern of that mode.</w:t>
      </w:r>
    </w:p>
    <w:p w14:paraId="302AC742" w14:textId="20222897" w:rsidR="00C71531" w:rsidRPr="00C71531" w:rsidRDefault="00C71531" w:rsidP="00A75688">
      <w:pPr>
        <w:spacing w:after="160"/>
        <w:rPr>
          <w:rFonts w:ascii="Arial" w:hAnsi="Arial" w:cs="Arial"/>
        </w:rPr>
      </w:pPr>
      <w:r w:rsidRPr="00C71531">
        <w:rPr>
          <w:rFonts w:ascii="Arial" w:hAnsi="Arial" w:cs="Arial"/>
        </w:rPr>
        <w:t xml:space="preserve">Finally, to visualize the first EOF, one takes the first column of </w:t>
      </w:r>
      <m:oMath>
        <m:r>
          <w:rPr>
            <w:rFonts w:ascii="Cambria Math" w:eastAsiaTheme="majorEastAsia" w:hAnsi="Cambria Math" w:cs="Arial"/>
          </w:rPr>
          <m:t>U</m:t>
        </m:r>
      </m:oMath>
      <w:r w:rsidRPr="00C71531">
        <w:rPr>
          <w:rFonts w:ascii="Arial" w:hAnsi="Arial" w:cs="Arial"/>
        </w:rPr>
        <w:t>, reshapes it back onto the latitude–longitude grid of the dataset, and plots the resulting two</w:t>
      </w:r>
      <w:r w:rsidRPr="00C71531">
        <w:rPr>
          <w:rFonts w:ascii="Cambria Math" w:hAnsi="Cambria Math" w:cs="Cambria Math"/>
        </w:rPr>
        <w:t>‐</w:t>
      </w:r>
      <w:r w:rsidRPr="00C71531">
        <w:rPr>
          <w:rFonts w:ascii="Arial" w:hAnsi="Arial" w:cs="Arial"/>
        </w:rPr>
        <w:t xml:space="preserve">dimensional field. Mathematically, if the first column of </w:t>
      </w:r>
      <m:oMath>
        <m:r>
          <w:rPr>
            <w:rFonts w:ascii="Cambria Math" w:eastAsiaTheme="majorEastAsia" w:hAnsi="Cambria Math" w:cs="Arial"/>
          </w:rPr>
          <m:t>U</m:t>
        </m:r>
      </m:oMath>
      <w:r w:rsidRPr="00C71531">
        <w:rPr>
          <w:rFonts w:ascii="Arial" w:hAnsi="Arial" w:cs="Arial"/>
        </w:rPr>
        <w:t xml:space="preserve"> is </w:t>
      </w:r>
      <m:oMath>
        <m:sSub>
          <m:sSubPr>
            <m:ctrlPr>
              <w:rPr>
                <w:rFonts w:ascii="Cambria Math" w:eastAsiaTheme="majorEastAsia" w:hAnsi="Cambria Math" w:cs="Arial"/>
                <w:i/>
              </w:rPr>
            </m:ctrlPr>
          </m:sSubPr>
          <m:e>
            <m:r>
              <w:rPr>
                <w:rFonts w:ascii="Cambria Math" w:eastAsiaTheme="majorEastAsia" w:hAnsi="Cambria Math" w:cs="Arial"/>
              </w:rPr>
              <m:t>u</m:t>
            </m:r>
          </m:e>
          <m:sub>
            <m:r>
              <w:rPr>
                <w:rFonts w:ascii="Cambria Math" w:eastAsiaTheme="majorEastAsia" w:hAnsi="Cambria Math" w:cs="Arial"/>
              </w:rPr>
              <m:t>1</m:t>
            </m:r>
          </m:sub>
        </m:sSub>
      </m:oMath>
      <w:r w:rsidRPr="00C71531">
        <w:rPr>
          <w:rFonts w:ascii="Arial" w:hAnsi="Arial" w:cs="Arial"/>
        </w:rPr>
        <w:t>​, then</w:t>
      </w:r>
      <w:r w:rsidR="00D346F6" w:rsidRPr="00A75688">
        <w:rPr>
          <w:rFonts w:ascii="Arial" w:hAnsi="Arial" w:cs="Arial"/>
        </w:rPr>
        <w:t xml:space="preserve"> </w:t>
      </w:r>
      <m:oMath>
        <m:r>
          <m:rPr>
            <m:nor/>
          </m:rPr>
          <w:rPr>
            <w:rFonts w:ascii="Cambria Math" w:eastAsiaTheme="majorEastAsia" w:hAnsi="Cambria Math" w:cs="Arial"/>
          </w:rPr>
          <m:t>EOF1</m:t>
        </m:r>
        <m:r>
          <w:rPr>
            <w:rFonts w:ascii="Cambria Math" w:eastAsiaTheme="majorEastAsia" w:hAnsi="Cambria Math" w:cs="Arial"/>
          </w:rPr>
          <m:t>=</m:t>
        </m:r>
        <m:r>
          <m:rPr>
            <m:nor/>
          </m:rPr>
          <w:rPr>
            <w:rFonts w:ascii="Cambria Math" w:eastAsiaTheme="majorEastAsia" w:hAnsi="Cambria Math" w:cs="Arial"/>
          </w:rPr>
          <m:t>reshape</m:t>
        </m:r>
        <m:d>
          <m:dPr>
            <m:ctrlPr>
              <w:rPr>
                <w:rFonts w:ascii="Cambria Math" w:eastAsiaTheme="majorEastAsia" w:hAnsi="Cambria Math" w:cs="Arial"/>
              </w:rPr>
            </m:ctrlPr>
          </m:dPr>
          <m:e>
            <m:sSub>
              <m:sSubPr>
                <m:ctrlPr>
                  <w:rPr>
                    <w:rFonts w:ascii="Cambria Math" w:eastAsiaTheme="majorEastAsia" w:hAnsi="Cambria Math" w:cs="Arial"/>
                    <w:i/>
                  </w:rPr>
                </m:ctrlPr>
              </m:sSubPr>
              <m:e>
                <m:r>
                  <w:rPr>
                    <w:rFonts w:ascii="Cambria Math" w:eastAsiaTheme="majorEastAsia" w:hAnsi="Cambria Math" w:cs="Arial"/>
                  </w:rPr>
                  <m:t>u</m:t>
                </m:r>
              </m:e>
              <m:sub>
                <m:r>
                  <w:rPr>
                    <w:rFonts w:ascii="Cambria Math" w:eastAsiaTheme="majorEastAsia" w:hAnsi="Cambria Math" w:cs="Arial"/>
                  </w:rPr>
                  <m:t>1</m:t>
                </m:r>
              </m:sub>
            </m:sSub>
            <m:r>
              <w:rPr>
                <w:rFonts w:ascii="Cambria Math" w:eastAsiaTheme="majorEastAsia" w:hAnsi="Cambria Math" w:cs="Arial"/>
              </w:rPr>
              <m:t>, </m:t>
            </m:r>
            <m:d>
              <m:dPr>
                <m:ctrlPr>
                  <w:rPr>
                    <w:rFonts w:ascii="Cambria Math" w:eastAsiaTheme="majorEastAsia" w:hAnsi="Cambria Math" w:cs="Arial"/>
                    <w:i/>
                  </w:rPr>
                </m:ctrlPr>
              </m:dPr>
              <m:e>
                <m:sSub>
                  <m:sSubPr>
                    <m:ctrlPr>
                      <w:rPr>
                        <w:rFonts w:ascii="Cambria Math" w:eastAsiaTheme="majorEastAsia" w:hAnsi="Cambria Math" w:cs="Arial"/>
                        <w:i/>
                      </w:rPr>
                    </m:ctrlPr>
                  </m:sSubPr>
                  <m:e>
                    <m:r>
                      <w:rPr>
                        <w:rFonts w:ascii="Cambria Math" w:eastAsiaTheme="majorEastAsia" w:hAnsi="Cambria Math" w:cs="Arial"/>
                      </w:rPr>
                      <m:t>n</m:t>
                    </m:r>
                  </m:e>
                  <m:sub>
                    <m:r>
                      <m:rPr>
                        <m:nor/>
                      </m:rPr>
                      <w:rPr>
                        <w:rFonts w:ascii="Cambria Math" w:eastAsiaTheme="majorEastAsia" w:hAnsi="Cambria Math" w:cs="Arial"/>
                      </w:rPr>
                      <m:t>lat</m:t>
                    </m:r>
                  </m:sub>
                </m:sSub>
                <m:r>
                  <w:rPr>
                    <w:rFonts w:ascii="Cambria Math" w:eastAsiaTheme="majorEastAsia" w:hAnsi="Cambria Math" w:cs="Arial"/>
                  </w:rPr>
                  <m:t>, </m:t>
                </m:r>
                <m:sSub>
                  <m:sSubPr>
                    <m:ctrlPr>
                      <w:rPr>
                        <w:rFonts w:ascii="Cambria Math" w:eastAsiaTheme="majorEastAsia" w:hAnsi="Cambria Math" w:cs="Arial"/>
                        <w:i/>
                      </w:rPr>
                    </m:ctrlPr>
                  </m:sSubPr>
                  <m:e>
                    <m:r>
                      <w:rPr>
                        <w:rFonts w:ascii="Cambria Math" w:eastAsiaTheme="majorEastAsia" w:hAnsi="Cambria Math" w:cs="Arial"/>
                      </w:rPr>
                      <m:t>n</m:t>
                    </m:r>
                  </m:e>
                  <m:sub>
                    <m:r>
                      <m:rPr>
                        <m:nor/>
                      </m:rPr>
                      <w:rPr>
                        <w:rFonts w:ascii="Cambria Math" w:eastAsiaTheme="majorEastAsia" w:hAnsi="Cambria Math" w:cs="Arial"/>
                      </w:rPr>
                      <m:t>lon</m:t>
                    </m:r>
                  </m:sub>
                </m:sSub>
              </m:e>
            </m:d>
            <m:ctrlPr>
              <w:rPr>
                <w:rFonts w:ascii="Cambria Math" w:eastAsiaTheme="majorEastAsia" w:hAnsi="Cambria Math" w:cs="Arial"/>
                <w:i/>
              </w:rPr>
            </m:ctrlPr>
          </m:e>
        </m:d>
        <m:r>
          <w:rPr>
            <w:rFonts w:ascii="Cambria Math" w:eastAsiaTheme="majorEastAsia" w:hAnsi="Cambria Math" w:cs="Arial"/>
          </w:rPr>
          <m:t>.</m:t>
        </m:r>
      </m:oMath>
      <w:r w:rsidR="00D346F6" w:rsidRPr="00A75688">
        <w:rPr>
          <w:rFonts w:ascii="Arial" w:hAnsi="Arial" w:cs="Arial"/>
        </w:rPr>
        <w:t xml:space="preserve"> </w:t>
      </w:r>
      <w:r w:rsidRPr="00C71531">
        <w:rPr>
          <w:rFonts w:ascii="Arial" w:hAnsi="Arial" w:cs="Arial"/>
        </w:rPr>
        <w:t xml:space="preserve">Similarly, the first principal component time series is the first column of </w:t>
      </w:r>
      <m:oMath>
        <m:r>
          <w:rPr>
            <w:rFonts w:ascii="Cambria Math" w:eastAsiaTheme="majorEastAsia" w:hAnsi="Cambria Math" w:cs="Arial"/>
          </w:rPr>
          <m:t>PC</m:t>
        </m:r>
      </m:oMath>
      <w:r w:rsidRPr="00C71531">
        <w:rPr>
          <w:rFonts w:ascii="Arial" w:hAnsi="Arial" w:cs="Arial"/>
        </w:rPr>
        <w:t xml:space="preserve">, namely </w:t>
      </w:r>
      <m:oMath>
        <m:r>
          <m:rPr>
            <m:nor/>
          </m:rPr>
          <w:rPr>
            <w:rFonts w:ascii="Cambria Math" w:eastAsiaTheme="majorEastAsia" w:hAnsi="Cambria Math" w:cs="Arial"/>
          </w:rPr>
          <m:t>PC1</m:t>
        </m:r>
        <m:r>
          <w:rPr>
            <w:rFonts w:ascii="Cambria Math" w:eastAsiaTheme="majorEastAsia" w:hAnsi="Cambria Math" w:cs="Arial"/>
          </w:rPr>
          <m:t>=PC</m:t>
        </m:r>
        <m:d>
          <m:dPr>
            <m:ctrlPr>
              <w:rPr>
                <w:rFonts w:ascii="Cambria Math" w:eastAsiaTheme="majorEastAsia" w:hAnsi="Cambria Math" w:cs="Arial"/>
                <w:i/>
              </w:rPr>
            </m:ctrlPr>
          </m:dPr>
          <m:e>
            <m:r>
              <w:rPr>
                <w:rFonts w:ascii="Cambria Math" w:eastAsiaTheme="majorEastAsia" w:hAnsi="Cambria Math" w:cs="Arial"/>
              </w:rPr>
              <m:t>:,1</m:t>
            </m:r>
          </m:e>
        </m:d>
      </m:oMath>
      <w:r w:rsidRPr="00C71531">
        <w:rPr>
          <w:rFonts w:ascii="Arial" w:hAnsi="Arial" w:cs="Arial"/>
        </w:rPr>
        <w:t>, which can be plotted against time to show how the amplitude of the first spatial mode evolves through the dataset.</w:t>
      </w:r>
    </w:p>
    <w:p w14:paraId="03E35E26" w14:textId="1C1AD69A" w:rsidR="00C71531" w:rsidRPr="00C71531" w:rsidRDefault="00C71531" w:rsidP="00A75688">
      <w:pPr>
        <w:spacing w:after="160"/>
        <w:rPr>
          <w:rFonts w:ascii="Arial" w:hAnsi="Arial" w:cs="Arial"/>
          <w:b/>
          <w:bCs/>
        </w:rPr>
      </w:pPr>
      <w:r w:rsidRPr="00C71531">
        <w:rPr>
          <w:rFonts w:ascii="Arial" w:hAnsi="Arial" w:cs="Arial"/>
          <w:b/>
          <w:bCs/>
        </w:rPr>
        <w:t>2.4 Comparison with Niño Index</w:t>
      </w:r>
    </w:p>
    <w:p w14:paraId="37366043" w14:textId="7444AB63" w:rsidR="00C71531" w:rsidRPr="00C71531" w:rsidRDefault="00194EDF" w:rsidP="00A75688">
      <w:pPr>
        <w:spacing w:after="160"/>
        <w:rPr>
          <w:rFonts w:ascii="Arial" w:hAnsi="Arial" w:cs="Arial"/>
        </w:rPr>
      </w:pPr>
      <w:r w:rsidRPr="00A75688">
        <w:rPr>
          <w:rFonts w:ascii="Arial" w:hAnsi="Arial" w:cs="Arial"/>
        </w:rPr>
        <w:t xml:space="preserve">To identify which principal component (PC) is most closely linked to ENSO, </w:t>
      </w:r>
      <w:r w:rsidRPr="00A75688">
        <w:rPr>
          <w:rFonts w:ascii="Arial" w:hAnsi="Arial" w:cs="Arial"/>
        </w:rPr>
        <w:t xml:space="preserve">I </w:t>
      </w:r>
      <w:r w:rsidRPr="00A75688">
        <w:rPr>
          <w:rFonts w:ascii="Arial" w:hAnsi="Arial" w:cs="Arial"/>
        </w:rPr>
        <w:t xml:space="preserve">used the monthly Niño 3.4 index from the NOAA Physical Sciences Laboratory (PSL). First, </w:t>
      </w:r>
      <w:r w:rsidRPr="00A75688">
        <w:rPr>
          <w:rFonts w:ascii="Arial" w:hAnsi="Arial" w:cs="Arial"/>
        </w:rPr>
        <w:t xml:space="preserve">I </w:t>
      </w:r>
      <w:r w:rsidRPr="00A75688">
        <w:rPr>
          <w:rFonts w:ascii="Arial" w:hAnsi="Arial" w:cs="Arial"/>
        </w:rPr>
        <w:t xml:space="preserve">ensured that both the SST dataset and the Niño 3.4 index covered the same </w:t>
      </w:r>
      <w:proofErr w:type="gramStart"/>
      <w:r w:rsidRPr="00A75688">
        <w:rPr>
          <w:rFonts w:ascii="Arial" w:hAnsi="Arial" w:cs="Arial"/>
        </w:rPr>
        <w:t>time period</w:t>
      </w:r>
      <w:proofErr w:type="gramEnd"/>
      <w:r w:rsidRPr="00A75688">
        <w:rPr>
          <w:rFonts w:ascii="Arial" w:hAnsi="Arial" w:cs="Arial"/>
        </w:rPr>
        <w:t xml:space="preserve"> (1980–2019) and had a consistent monthly time axis. Next, </w:t>
      </w:r>
      <w:r w:rsidRPr="00A75688">
        <w:rPr>
          <w:rFonts w:ascii="Arial" w:hAnsi="Arial" w:cs="Arial"/>
        </w:rPr>
        <w:t xml:space="preserve">I </w:t>
      </w:r>
      <w:r w:rsidRPr="00A75688">
        <w:rPr>
          <w:rFonts w:ascii="Arial" w:hAnsi="Arial" w:cs="Arial"/>
        </w:rPr>
        <w:t xml:space="preserve">computed Pearson correlation coefficients between each PC time series and the Niño 3.4 index. Because both the PCs and the Niño 3.4 index are already in anomaly form, no additional detrending or deseasonalization was applied to the index. For each of the first three PCs, </w:t>
      </w:r>
      <w:r w:rsidRPr="00A75688">
        <w:rPr>
          <w:rFonts w:ascii="Arial" w:hAnsi="Arial" w:cs="Arial"/>
        </w:rPr>
        <w:t xml:space="preserve">I </w:t>
      </w:r>
      <w:r w:rsidRPr="00A75688">
        <w:rPr>
          <w:rFonts w:ascii="Arial" w:hAnsi="Arial" w:cs="Arial"/>
        </w:rPr>
        <w:t xml:space="preserve">calculated the correlation coefficient </w:t>
      </w:r>
      <m:oMath>
        <m:r>
          <w:rPr>
            <w:rFonts w:ascii="Cambria Math" w:hAnsi="Cambria Math" w:cs="Cambria Math"/>
          </w:rPr>
          <m:t>r</m:t>
        </m:r>
      </m:oMath>
      <w:r w:rsidRPr="00A75688">
        <w:rPr>
          <w:rFonts w:ascii="Arial" w:hAnsi="Arial" w:cs="Arial"/>
        </w:rPr>
        <w:t xml:space="preserve">, then compared these values to determine which mode most strongly captured the ENSO signal. This procedure allowed </w:t>
      </w:r>
      <w:r w:rsidR="00684244">
        <w:rPr>
          <w:rFonts w:ascii="Arial" w:hAnsi="Arial" w:cs="Arial"/>
        </w:rPr>
        <w:t>me</w:t>
      </w:r>
      <w:r w:rsidRPr="00A75688">
        <w:rPr>
          <w:rFonts w:ascii="Arial" w:hAnsi="Arial" w:cs="Arial"/>
        </w:rPr>
        <w:t xml:space="preserve"> to quantitatively link the spatial patterns in the EOFs to a well</w:t>
      </w:r>
      <w:r w:rsidRPr="00A75688">
        <w:rPr>
          <w:rFonts w:ascii="Cambria Math" w:hAnsi="Cambria Math" w:cs="Cambria Math"/>
        </w:rPr>
        <w:t>‐</w:t>
      </w:r>
      <w:r w:rsidRPr="00A75688">
        <w:rPr>
          <w:rFonts w:ascii="Arial" w:hAnsi="Arial" w:cs="Arial"/>
        </w:rPr>
        <w:t>established measure of tropical Pacific SST variability.</w:t>
      </w:r>
    </w:p>
    <w:p w14:paraId="3C17B0FF" w14:textId="77777777" w:rsidR="00C71531" w:rsidRPr="00C71531" w:rsidRDefault="00C71531" w:rsidP="00A75688">
      <w:pPr>
        <w:spacing w:after="160"/>
        <w:rPr>
          <w:rFonts w:ascii="Arial" w:hAnsi="Arial" w:cs="Arial"/>
          <w:b/>
          <w:bCs/>
        </w:rPr>
      </w:pPr>
      <w:r w:rsidRPr="00C71531">
        <w:rPr>
          <w:rFonts w:ascii="Arial" w:hAnsi="Arial" w:cs="Arial"/>
          <w:b/>
          <w:bCs/>
        </w:rPr>
        <w:t>3. Results</w:t>
      </w:r>
    </w:p>
    <w:p w14:paraId="73EE0B7D" w14:textId="77777777" w:rsidR="00C71531" w:rsidRPr="00C71531" w:rsidRDefault="00C71531" w:rsidP="00A75688">
      <w:pPr>
        <w:spacing w:after="160"/>
        <w:rPr>
          <w:rFonts w:ascii="Arial" w:hAnsi="Arial" w:cs="Arial"/>
          <w:b/>
          <w:bCs/>
        </w:rPr>
      </w:pPr>
      <w:r w:rsidRPr="00C71531">
        <w:rPr>
          <w:rFonts w:ascii="Arial" w:hAnsi="Arial" w:cs="Arial"/>
          <w:b/>
          <w:bCs/>
        </w:rPr>
        <w:t>3.1 Mean SST and Anomalies</w:t>
      </w:r>
    </w:p>
    <w:p w14:paraId="239BCB40" w14:textId="77777777" w:rsidR="00194EDF" w:rsidRPr="00A75688" w:rsidRDefault="00194EDF" w:rsidP="00A75688">
      <w:pPr>
        <w:keepNext/>
        <w:spacing w:after="160"/>
      </w:pPr>
      <w:r w:rsidRPr="00A75688">
        <w:rPr>
          <w:rFonts w:ascii="Arial" w:eastAsiaTheme="majorEastAsia" w:hAnsi="Arial" w:cs="Arial"/>
          <w:b/>
          <w:bCs/>
        </w:rPr>
        <w:lastRenderedPageBreak/>
        <w:drawing>
          <wp:inline distT="0" distB="0" distL="0" distR="0" wp14:anchorId="7C0C5846" wp14:editId="3D95FD24">
            <wp:extent cx="5943600" cy="3459480"/>
            <wp:effectExtent l="0" t="0" r="0" b="0"/>
            <wp:docPr id="76529595"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9595" name="Picture 1" descr="A map of the world&#10;&#10;AI-generated content may be incorrect."/>
                    <pic:cNvPicPr/>
                  </pic:nvPicPr>
                  <pic:blipFill>
                    <a:blip r:embed="rId9"/>
                    <a:stretch>
                      <a:fillRect/>
                    </a:stretch>
                  </pic:blipFill>
                  <pic:spPr>
                    <a:xfrm>
                      <a:off x="0" y="0"/>
                      <a:ext cx="5943600" cy="3459480"/>
                    </a:xfrm>
                    <a:prstGeom prst="rect">
                      <a:avLst/>
                    </a:prstGeom>
                  </pic:spPr>
                </pic:pic>
              </a:graphicData>
            </a:graphic>
          </wp:inline>
        </w:drawing>
      </w:r>
    </w:p>
    <w:p w14:paraId="6747002F" w14:textId="3F3146E4" w:rsidR="00194EDF" w:rsidRPr="00A75688" w:rsidRDefault="00194EDF" w:rsidP="00A75688">
      <w:pPr>
        <w:pStyle w:val="Caption"/>
        <w:rPr>
          <w:rFonts w:ascii="Arial" w:eastAsiaTheme="majorEastAsia" w:hAnsi="Arial" w:cs="Arial"/>
          <w:b/>
          <w:bCs/>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1</w:t>
      </w:r>
      <w:r w:rsidRPr="00A75688">
        <w:rPr>
          <w:sz w:val="24"/>
          <w:szCs w:val="24"/>
        </w:rPr>
        <w:fldChar w:fldCharType="end"/>
      </w:r>
      <w:r w:rsidRPr="00A75688">
        <w:rPr>
          <w:sz w:val="24"/>
          <w:szCs w:val="24"/>
        </w:rPr>
        <w:t>. Global mean SST calculated over the 1980–2019 period</w:t>
      </w:r>
    </w:p>
    <w:p w14:paraId="0E3BA6FC" w14:textId="79C1592C" w:rsidR="00C71531" w:rsidRPr="00A75688" w:rsidRDefault="00C71531" w:rsidP="00A75688">
      <w:pPr>
        <w:spacing w:after="160"/>
        <w:rPr>
          <w:rFonts w:ascii="Arial" w:hAnsi="Arial" w:cs="Arial"/>
        </w:rPr>
      </w:pPr>
      <w:r w:rsidRPr="00C71531">
        <w:rPr>
          <w:rFonts w:ascii="Arial" w:eastAsiaTheme="majorEastAsia" w:hAnsi="Arial" w:cs="Arial"/>
          <w:b/>
          <w:bCs/>
        </w:rPr>
        <w:t>Figure 1</w:t>
      </w:r>
      <w:r w:rsidRPr="00C71531">
        <w:rPr>
          <w:rFonts w:ascii="Arial" w:hAnsi="Arial" w:cs="Arial"/>
        </w:rPr>
        <w:t xml:space="preserve"> shows the long-term mean SST (°C). Warmest waters (&gt;28 °C) appear in the tropics near the Western Pacific “Warm Pool.” High latitudes exhibit colder SST (&lt; 5 °C), with ocean temperatures near freezing in the Arctic and Antarctic regions.</w:t>
      </w:r>
    </w:p>
    <w:p w14:paraId="38EB74F6" w14:textId="77777777" w:rsidR="00C0754B" w:rsidRPr="00A75688" w:rsidRDefault="00194EDF" w:rsidP="00A75688">
      <w:pPr>
        <w:keepNext/>
        <w:spacing w:after="160"/>
      </w:pPr>
      <w:r w:rsidRPr="00A75688">
        <w:rPr>
          <w:rFonts w:ascii="Arial" w:hAnsi="Arial" w:cs="Arial"/>
        </w:rPr>
        <w:lastRenderedPageBreak/>
        <w:drawing>
          <wp:inline distT="0" distB="0" distL="0" distR="0" wp14:anchorId="114E9E12" wp14:editId="735BA210">
            <wp:extent cx="5943600" cy="3401695"/>
            <wp:effectExtent l="0" t="0" r="0" b="1905"/>
            <wp:docPr id="881804109"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04109" name="Picture 1" descr="A map of the world&#10;&#10;AI-generated content may be incorrect."/>
                    <pic:cNvPicPr/>
                  </pic:nvPicPr>
                  <pic:blipFill>
                    <a:blip r:embed="rId10"/>
                    <a:stretch>
                      <a:fillRect/>
                    </a:stretch>
                  </pic:blipFill>
                  <pic:spPr>
                    <a:xfrm>
                      <a:off x="0" y="0"/>
                      <a:ext cx="5943600" cy="3401695"/>
                    </a:xfrm>
                    <a:prstGeom prst="rect">
                      <a:avLst/>
                    </a:prstGeom>
                  </pic:spPr>
                </pic:pic>
              </a:graphicData>
            </a:graphic>
          </wp:inline>
        </w:drawing>
      </w:r>
    </w:p>
    <w:p w14:paraId="18FC1132" w14:textId="6901BD7E" w:rsidR="00194EDF" w:rsidRPr="00C71531" w:rsidRDefault="00C0754B" w:rsidP="00A75688">
      <w:pPr>
        <w:pStyle w:val="Caption"/>
        <w:rPr>
          <w:rFonts w:ascii="Arial" w:hAnsi="Arial" w:cs="Arial"/>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2</w:t>
      </w:r>
      <w:r w:rsidRPr="00A75688">
        <w:rPr>
          <w:sz w:val="24"/>
          <w:szCs w:val="24"/>
        </w:rPr>
        <w:fldChar w:fldCharType="end"/>
      </w:r>
      <w:r w:rsidRPr="00A75688">
        <w:rPr>
          <w:sz w:val="24"/>
          <w:szCs w:val="24"/>
        </w:rPr>
        <w:t>. Global distribution of SST anomalies on January 1, 1980, relative to the long‐term monthly climatology (1980–2019)</w:t>
      </w:r>
    </w:p>
    <w:p w14:paraId="2181CCAB" w14:textId="19E99D40" w:rsidR="00C71531" w:rsidRPr="00A75688" w:rsidRDefault="00C71531" w:rsidP="00A75688">
      <w:pPr>
        <w:spacing w:after="160"/>
        <w:rPr>
          <w:rFonts w:ascii="Arial" w:hAnsi="Arial" w:cs="Arial"/>
        </w:rPr>
      </w:pPr>
      <w:r w:rsidRPr="00C71531">
        <w:rPr>
          <w:rFonts w:ascii="Arial" w:eastAsiaTheme="majorEastAsia" w:hAnsi="Arial" w:cs="Arial"/>
          <w:b/>
          <w:bCs/>
        </w:rPr>
        <w:t xml:space="preserve">Figure </w:t>
      </w:r>
      <w:r w:rsidR="00C0754B" w:rsidRPr="00A75688">
        <w:rPr>
          <w:rFonts w:ascii="Arial" w:eastAsiaTheme="majorEastAsia" w:hAnsi="Arial" w:cs="Arial"/>
          <w:b/>
          <w:bCs/>
        </w:rPr>
        <w:t>2</w:t>
      </w:r>
      <w:r w:rsidRPr="00C71531">
        <w:rPr>
          <w:rFonts w:ascii="Arial" w:hAnsi="Arial" w:cs="Arial"/>
        </w:rPr>
        <w:t xml:space="preserve"> provides an example of an SST anomaly map on January 1, 1980. Positive anomalies (red shading) dominate some mid</w:t>
      </w:r>
      <w:r w:rsidRPr="00C71531">
        <w:rPr>
          <w:rFonts w:ascii="Cambria Math" w:hAnsi="Cambria Math" w:cs="Cambria Math"/>
        </w:rPr>
        <w:t>‐</w:t>
      </w:r>
      <w:r w:rsidRPr="00C71531">
        <w:rPr>
          <w:rFonts w:ascii="Arial" w:hAnsi="Arial" w:cs="Arial"/>
        </w:rPr>
        <w:t>latitude and subpolar areas, while negative anomalies (blue shading) appear in various ocean basins, indicating cooler-than-average conditions on this date.</w:t>
      </w:r>
    </w:p>
    <w:p w14:paraId="1BDFBB2C" w14:textId="57F0A877" w:rsidR="00C0754B" w:rsidRPr="00C0754B" w:rsidRDefault="00C0754B" w:rsidP="00A75688">
      <w:pPr>
        <w:spacing w:after="160"/>
        <w:rPr>
          <w:rFonts w:ascii="Arial" w:hAnsi="Arial" w:cs="Arial"/>
          <w:b/>
          <w:bCs/>
        </w:rPr>
      </w:pPr>
      <w:r w:rsidRPr="00C0754B">
        <w:rPr>
          <w:rFonts w:ascii="Arial" w:hAnsi="Arial" w:cs="Arial"/>
          <w:b/>
          <w:bCs/>
        </w:rPr>
        <w:t>3.</w:t>
      </w:r>
      <w:r w:rsidRPr="00A75688">
        <w:rPr>
          <w:rFonts w:ascii="Arial" w:hAnsi="Arial" w:cs="Arial"/>
          <w:b/>
          <w:bCs/>
        </w:rPr>
        <w:t>2</w:t>
      </w:r>
      <w:r w:rsidRPr="00C0754B">
        <w:rPr>
          <w:rFonts w:ascii="Arial" w:hAnsi="Arial" w:cs="Arial"/>
          <w:b/>
          <w:bCs/>
        </w:rPr>
        <w:t xml:space="preserve"> EOF Spatial Patterns</w:t>
      </w:r>
    </w:p>
    <w:p w14:paraId="71B2271E" w14:textId="30D91C80" w:rsidR="00C0754B" w:rsidRPr="00A75688" w:rsidRDefault="00D427C7" w:rsidP="00A75688">
      <w:pPr>
        <w:keepNext/>
        <w:spacing w:after="160"/>
      </w:pPr>
      <w:r w:rsidRPr="00D427C7">
        <w:lastRenderedPageBreak/>
        <w:drawing>
          <wp:inline distT="0" distB="0" distL="0" distR="0" wp14:anchorId="1427219C" wp14:editId="511D2E20">
            <wp:extent cx="5943600" cy="3338830"/>
            <wp:effectExtent l="0" t="0" r="0" b="1270"/>
            <wp:docPr id="341392327"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92327" name="Picture 1" descr="A map of the world&#10;&#10;AI-generated content may be incorrect."/>
                    <pic:cNvPicPr/>
                  </pic:nvPicPr>
                  <pic:blipFill>
                    <a:blip r:embed="rId11"/>
                    <a:stretch>
                      <a:fillRect/>
                    </a:stretch>
                  </pic:blipFill>
                  <pic:spPr>
                    <a:xfrm>
                      <a:off x="0" y="0"/>
                      <a:ext cx="5943600" cy="3338830"/>
                    </a:xfrm>
                    <a:prstGeom prst="rect">
                      <a:avLst/>
                    </a:prstGeom>
                  </pic:spPr>
                </pic:pic>
              </a:graphicData>
            </a:graphic>
          </wp:inline>
        </w:drawing>
      </w:r>
    </w:p>
    <w:p w14:paraId="3CCCC529" w14:textId="7ABEF5BD" w:rsidR="00C0754B" w:rsidRPr="00A75688" w:rsidRDefault="00C0754B" w:rsidP="00A75688">
      <w:pPr>
        <w:pStyle w:val="Caption"/>
        <w:rPr>
          <w:rFonts w:ascii="Arial" w:hAnsi="Arial" w:cs="Arial"/>
          <w:b/>
          <w:bCs/>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3</w:t>
      </w:r>
      <w:r w:rsidRPr="00A75688">
        <w:rPr>
          <w:sz w:val="24"/>
          <w:szCs w:val="24"/>
        </w:rPr>
        <w:fldChar w:fldCharType="end"/>
      </w:r>
      <w:r w:rsidRPr="00A75688">
        <w:rPr>
          <w:sz w:val="24"/>
          <w:szCs w:val="24"/>
        </w:rPr>
        <w:t xml:space="preserve">. </w:t>
      </w:r>
      <w:r w:rsidRPr="00A75688">
        <w:rPr>
          <w:sz w:val="24"/>
          <w:szCs w:val="24"/>
        </w:rPr>
        <w:t>Spatial structure of the first empirical orthogonal function (EOF 1) of global SST anomalies, explaining approximately 30.7% of the total variance. Positive (red) and negative (blue) loadings show how different regions covary within this leading mode.</w:t>
      </w:r>
    </w:p>
    <w:p w14:paraId="6F8E372A" w14:textId="77777777" w:rsidR="00C0754B" w:rsidRPr="00A75688" w:rsidRDefault="00C0754B" w:rsidP="00A75688">
      <w:pPr>
        <w:spacing w:after="160"/>
        <w:rPr>
          <w:rFonts w:ascii="Arial" w:hAnsi="Arial" w:cs="Arial"/>
        </w:rPr>
      </w:pPr>
      <w:r w:rsidRPr="00C0754B">
        <w:rPr>
          <w:rFonts w:ascii="Arial" w:hAnsi="Arial" w:cs="Arial"/>
          <w:b/>
          <w:bCs/>
        </w:rPr>
        <w:t xml:space="preserve">Figure </w:t>
      </w:r>
      <w:r w:rsidRPr="00A75688">
        <w:rPr>
          <w:rFonts w:ascii="Arial" w:hAnsi="Arial" w:cs="Arial"/>
          <w:b/>
          <w:bCs/>
        </w:rPr>
        <w:t>3</w:t>
      </w:r>
      <w:r w:rsidRPr="00C0754B">
        <w:rPr>
          <w:rFonts w:ascii="Arial" w:hAnsi="Arial" w:cs="Arial"/>
        </w:rPr>
        <w:t xml:space="preserve"> (EOF 1 Spatial Pattern)</w:t>
      </w:r>
      <w:r w:rsidRPr="00A75688">
        <w:rPr>
          <w:rFonts w:ascii="Arial" w:hAnsi="Arial" w:cs="Arial"/>
        </w:rPr>
        <w:t xml:space="preserve"> d</w:t>
      </w:r>
      <w:r w:rsidRPr="00C0754B">
        <w:rPr>
          <w:rFonts w:ascii="Arial" w:hAnsi="Arial" w:cs="Arial"/>
        </w:rPr>
        <w:t>isplays large positive loadings in subpolar regions and negative loadings in the Southern Hemisphere. This mode may reflect a broad hemispheric or global warming/cooling pattern.</w:t>
      </w:r>
      <w:r w:rsidRPr="00A75688">
        <w:rPr>
          <w:rFonts w:ascii="Arial" w:hAnsi="Arial" w:cs="Arial"/>
        </w:rPr>
        <w:t xml:space="preserve"> </w:t>
      </w:r>
    </w:p>
    <w:p w14:paraId="3A00168E" w14:textId="3AEE5AD1" w:rsidR="00C0754B" w:rsidRPr="00A75688" w:rsidRDefault="00D427C7" w:rsidP="00A75688">
      <w:pPr>
        <w:keepNext/>
        <w:spacing w:after="160"/>
      </w:pPr>
      <w:r w:rsidRPr="00D427C7">
        <w:rPr>
          <w:rFonts w:ascii="Arial" w:hAnsi="Arial" w:cs="Arial"/>
        </w:rPr>
        <w:lastRenderedPageBreak/>
        <w:drawing>
          <wp:inline distT="0" distB="0" distL="0" distR="0" wp14:anchorId="6BFF0DA2" wp14:editId="75723F2B">
            <wp:extent cx="5943600" cy="3338830"/>
            <wp:effectExtent l="0" t="0" r="0" b="1270"/>
            <wp:docPr id="591029118"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29118" name="Picture 1" descr="A map of the world&#10;&#10;AI-generated content may be incorrect."/>
                    <pic:cNvPicPr/>
                  </pic:nvPicPr>
                  <pic:blipFill>
                    <a:blip r:embed="rId12"/>
                    <a:stretch>
                      <a:fillRect/>
                    </a:stretch>
                  </pic:blipFill>
                  <pic:spPr>
                    <a:xfrm>
                      <a:off x="0" y="0"/>
                      <a:ext cx="5943600" cy="3338830"/>
                    </a:xfrm>
                    <a:prstGeom prst="rect">
                      <a:avLst/>
                    </a:prstGeom>
                  </pic:spPr>
                </pic:pic>
              </a:graphicData>
            </a:graphic>
          </wp:inline>
        </w:drawing>
      </w:r>
    </w:p>
    <w:p w14:paraId="6D1987F1" w14:textId="70B870D7" w:rsidR="00C0754B" w:rsidRPr="00A75688" w:rsidRDefault="00C0754B" w:rsidP="00A75688">
      <w:pPr>
        <w:pStyle w:val="Caption"/>
        <w:rPr>
          <w:rFonts w:ascii="Arial" w:hAnsi="Arial" w:cs="Arial"/>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4</w:t>
      </w:r>
      <w:r w:rsidRPr="00A75688">
        <w:rPr>
          <w:sz w:val="24"/>
          <w:szCs w:val="24"/>
        </w:rPr>
        <w:fldChar w:fldCharType="end"/>
      </w:r>
      <w:r w:rsidRPr="00A75688">
        <w:rPr>
          <w:sz w:val="24"/>
          <w:szCs w:val="24"/>
        </w:rPr>
        <w:t xml:space="preserve">. </w:t>
      </w:r>
      <w:r w:rsidRPr="00A75688">
        <w:rPr>
          <w:sz w:val="24"/>
          <w:szCs w:val="24"/>
        </w:rPr>
        <w:t>Spatial pattern for the second empirical orthogonal function (EOF 2) of global SST anomalies, accounting for approximately 26.6% of the total variance. The strongest positive loadings span the tropical Pacific, indicating an ENSO‐like mode of variability.</w:t>
      </w:r>
    </w:p>
    <w:p w14:paraId="6C4B8157" w14:textId="5275DDB4" w:rsidR="00C0754B" w:rsidRPr="00A75688" w:rsidRDefault="00C0754B" w:rsidP="00A75688">
      <w:pPr>
        <w:spacing w:after="160"/>
        <w:rPr>
          <w:rFonts w:ascii="Arial" w:hAnsi="Arial" w:cs="Arial"/>
        </w:rPr>
      </w:pPr>
      <w:r w:rsidRPr="00C0754B">
        <w:rPr>
          <w:rFonts w:ascii="Arial" w:hAnsi="Arial" w:cs="Arial"/>
          <w:b/>
          <w:bCs/>
        </w:rPr>
        <w:t xml:space="preserve">Figure </w:t>
      </w:r>
      <w:r w:rsidRPr="00A75688">
        <w:rPr>
          <w:rFonts w:ascii="Arial" w:hAnsi="Arial" w:cs="Arial"/>
          <w:b/>
          <w:bCs/>
        </w:rPr>
        <w:t>4</w:t>
      </w:r>
      <w:r w:rsidRPr="00C0754B">
        <w:rPr>
          <w:rFonts w:ascii="Arial" w:hAnsi="Arial" w:cs="Arial"/>
        </w:rPr>
        <w:t xml:space="preserve"> (EOF 2 Spatial Pattern)</w:t>
      </w:r>
      <w:r w:rsidRPr="00A75688">
        <w:rPr>
          <w:rFonts w:ascii="Arial" w:hAnsi="Arial" w:cs="Arial"/>
        </w:rPr>
        <w:t xml:space="preserve"> c</w:t>
      </w:r>
      <w:r w:rsidRPr="00C0754B">
        <w:rPr>
          <w:rFonts w:ascii="Arial" w:hAnsi="Arial" w:cs="Arial"/>
        </w:rPr>
        <w:t>enters in the equatorial Pacific with strong positive loadings around the Niño 3.4 region, capturing the canonical El Niño–La Niña seesaw.</w:t>
      </w:r>
    </w:p>
    <w:p w14:paraId="42977464" w14:textId="2A116006" w:rsidR="00C0754B" w:rsidRPr="00A75688" w:rsidRDefault="00D427C7" w:rsidP="00A75688">
      <w:pPr>
        <w:keepNext/>
        <w:spacing w:after="160"/>
      </w:pPr>
      <w:r w:rsidRPr="00D427C7">
        <w:rPr>
          <w:rFonts w:ascii="Arial" w:hAnsi="Arial" w:cs="Arial"/>
        </w:rPr>
        <w:lastRenderedPageBreak/>
        <w:drawing>
          <wp:inline distT="0" distB="0" distL="0" distR="0" wp14:anchorId="11172CA9" wp14:editId="1361644E">
            <wp:extent cx="5943600" cy="3311525"/>
            <wp:effectExtent l="0" t="0" r="0" b="3175"/>
            <wp:docPr id="919438173"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38173" name="Picture 1" descr="A map of the world&#10;&#10;AI-generated content may be incorrect."/>
                    <pic:cNvPicPr/>
                  </pic:nvPicPr>
                  <pic:blipFill>
                    <a:blip r:embed="rId13"/>
                    <a:stretch>
                      <a:fillRect/>
                    </a:stretch>
                  </pic:blipFill>
                  <pic:spPr>
                    <a:xfrm>
                      <a:off x="0" y="0"/>
                      <a:ext cx="5943600" cy="3311525"/>
                    </a:xfrm>
                    <a:prstGeom prst="rect">
                      <a:avLst/>
                    </a:prstGeom>
                  </pic:spPr>
                </pic:pic>
              </a:graphicData>
            </a:graphic>
          </wp:inline>
        </w:drawing>
      </w:r>
    </w:p>
    <w:p w14:paraId="26F06BF9" w14:textId="74FA9B7B" w:rsidR="00C0754B" w:rsidRPr="00C0754B" w:rsidRDefault="00C0754B" w:rsidP="00A75688">
      <w:pPr>
        <w:pStyle w:val="Caption"/>
        <w:rPr>
          <w:rFonts w:ascii="Arial" w:hAnsi="Arial" w:cs="Arial"/>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5</w:t>
      </w:r>
      <w:r w:rsidRPr="00A75688">
        <w:rPr>
          <w:sz w:val="24"/>
          <w:szCs w:val="24"/>
        </w:rPr>
        <w:fldChar w:fldCharType="end"/>
      </w:r>
      <w:r w:rsidRPr="00A75688">
        <w:rPr>
          <w:sz w:val="24"/>
          <w:szCs w:val="24"/>
        </w:rPr>
        <w:t>. Spatial pattern for the third empirical orthogonal function (EOF 3) of global SST anomalies, explaining approximately 10.5% of the total variance. Prominent features include strong loadings over the high‐latitude North Pacific and southwestern Atlantic</w:t>
      </w:r>
    </w:p>
    <w:p w14:paraId="661DAF6C" w14:textId="34B653DD" w:rsidR="00C0754B" w:rsidRPr="00C71531" w:rsidRDefault="00C0754B" w:rsidP="00A75688">
      <w:pPr>
        <w:spacing w:after="160"/>
        <w:rPr>
          <w:rFonts w:ascii="Arial" w:hAnsi="Arial" w:cs="Arial"/>
        </w:rPr>
      </w:pPr>
      <w:r w:rsidRPr="00C0754B">
        <w:rPr>
          <w:rFonts w:ascii="Arial" w:hAnsi="Arial" w:cs="Arial"/>
          <w:b/>
          <w:bCs/>
        </w:rPr>
        <w:t xml:space="preserve">Figure </w:t>
      </w:r>
      <w:r w:rsidRPr="00A75688">
        <w:rPr>
          <w:rFonts w:ascii="Arial" w:hAnsi="Arial" w:cs="Arial"/>
          <w:b/>
          <w:bCs/>
        </w:rPr>
        <w:t>5</w:t>
      </w:r>
      <w:r w:rsidRPr="00C0754B">
        <w:rPr>
          <w:rFonts w:ascii="Arial" w:hAnsi="Arial" w:cs="Arial"/>
        </w:rPr>
        <w:t xml:space="preserve"> (EOF 3 Spatial Pattern)</w:t>
      </w:r>
      <w:r w:rsidRPr="00A75688">
        <w:rPr>
          <w:rFonts w:ascii="Arial" w:hAnsi="Arial" w:cs="Arial"/>
        </w:rPr>
        <w:t xml:space="preserve"> s</w:t>
      </w:r>
      <w:r w:rsidRPr="00C0754B">
        <w:rPr>
          <w:rFonts w:ascii="Arial" w:hAnsi="Arial" w:cs="Arial"/>
        </w:rPr>
        <w:t>hows a dipole between parts of the central Pacific and the southwestern Atlantic, with additional centers in the high-latitude Northern Hemisphere, suggesting a more nuanced pattern not directly tied to ENSO events.</w:t>
      </w:r>
    </w:p>
    <w:p w14:paraId="0B957BAA" w14:textId="2067209B" w:rsidR="00C71531" w:rsidRPr="00A75688" w:rsidRDefault="00C71531" w:rsidP="00A75688">
      <w:pPr>
        <w:pStyle w:val="ListParagraph"/>
        <w:numPr>
          <w:ilvl w:val="1"/>
          <w:numId w:val="13"/>
        </w:numPr>
        <w:spacing w:after="160"/>
        <w:rPr>
          <w:rFonts w:ascii="Arial" w:hAnsi="Arial" w:cs="Arial"/>
          <w:b/>
          <w:bCs/>
        </w:rPr>
      </w:pPr>
      <w:r w:rsidRPr="00A75688">
        <w:rPr>
          <w:rFonts w:ascii="Arial" w:hAnsi="Arial" w:cs="Arial"/>
          <w:b/>
          <w:bCs/>
        </w:rPr>
        <w:t>Scree Plot and Explained Variance</w:t>
      </w:r>
    </w:p>
    <w:p w14:paraId="654FD453" w14:textId="1BA0A006" w:rsidR="00C0754B" w:rsidRPr="00A75688" w:rsidRDefault="00D427C7" w:rsidP="00A75688">
      <w:pPr>
        <w:keepNext/>
        <w:spacing w:after="160"/>
      </w:pPr>
      <w:r w:rsidRPr="00D427C7">
        <w:lastRenderedPageBreak/>
        <w:drawing>
          <wp:inline distT="0" distB="0" distL="0" distR="0" wp14:anchorId="7C27CC29" wp14:editId="2E7AE72C">
            <wp:extent cx="5943600" cy="3213100"/>
            <wp:effectExtent l="0" t="0" r="0" b="0"/>
            <wp:docPr id="72163301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33012" name="Picture 1" descr="A graph with a line&#10;&#10;AI-generated content may be incorrect."/>
                    <pic:cNvPicPr/>
                  </pic:nvPicPr>
                  <pic:blipFill>
                    <a:blip r:embed="rId14"/>
                    <a:stretch>
                      <a:fillRect/>
                    </a:stretch>
                  </pic:blipFill>
                  <pic:spPr>
                    <a:xfrm>
                      <a:off x="0" y="0"/>
                      <a:ext cx="5943600" cy="3213100"/>
                    </a:xfrm>
                    <a:prstGeom prst="rect">
                      <a:avLst/>
                    </a:prstGeom>
                  </pic:spPr>
                </pic:pic>
              </a:graphicData>
            </a:graphic>
          </wp:inline>
        </w:drawing>
      </w:r>
    </w:p>
    <w:p w14:paraId="1EEE1843" w14:textId="6A64ACB3" w:rsidR="00C0754B" w:rsidRPr="00A75688" w:rsidRDefault="00C0754B" w:rsidP="00A75688">
      <w:pPr>
        <w:pStyle w:val="Caption"/>
        <w:rPr>
          <w:rFonts w:ascii="Arial" w:eastAsiaTheme="majorEastAsia" w:hAnsi="Arial" w:cs="Arial"/>
          <w:b/>
          <w:bCs/>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6</w:t>
      </w:r>
      <w:r w:rsidRPr="00A75688">
        <w:rPr>
          <w:sz w:val="24"/>
          <w:szCs w:val="24"/>
        </w:rPr>
        <w:fldChar w:fldCharType="end"/>
      </w:r>
      <w:r w:rsidRPr="00A75688">
        <w:rPr>
          <w:sz w:val="24"/>
          <w:szCs w:val="24"/>
        </w:rPr>
        <w:t>. Scree plot showing the fraction of total variance explained by each principal component (PC). The first three modes capture the bulk of the variability, with PC1 explaining approximately 30.7%, PC2 around 26.6%, and PC3 roughly 10.5%.</w:t>
      </w:r>
    </w:p>
    <w:p w14:paraId="0F94A05D" w14:textId="587190C4" w:rsidR="00C0754B" w:rsidRPr="00A75688" w:rsidRDefault="00D427C7" w:rsidP="00A75688">
      <w:pPr>
        <w:keepNext/>
        <w:spacing w:after="160"/>
      </w:pPr>
      <w:r w:rsidRPr="00D427C7">
        <w:drawing>
          <wp:inline distT="0" distB="0" distL="0" distR="0" wp14:anchorId="17CBA73E" wp14:editId="166DD892">
            <wp:extent cx="5943600" cy="3245485"/>
            <wp:effectExtent l="0" t="0" r="0" b="5715"/>
            <wp:docPr id="81844073"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4073" name="Picture 1" descr="A graph with a red line&#10;&#10;AI-generated content may be incorrect."/>
                    <pic:cNvPicPr/>
                  </pic:nvPicPr>
                  <pic:blipFill>
                    <a:blip r:embed="rId15"/>
                    <a:stretch>
                      <a:fillRect/>
                    </a:stretch>
                  </pic:blipFill>
                  <pic:spPr>
                    <a:xfrm>
                      <a:off x="0" y="0"/>
                      <a:ext cx="5943600" cy="3245485"/>
                    </a:xfrm>
                    <a:prstGeom prst="rect">
                      <a:avLst/>
                    </a:prstGeom>
                  </pic:spPr>
                </pic:pic>
              </a:graphicData>
            </a:graphic>
          </wp:inline>
        </w:drawing>
      </w:r>
    </w:p>
    <w:p w14:paraId="7B35B4C1" w14:textId="6B905391" w:rsidR="00C0754B" w:rsidRPr="00A75688" w:rsidRDefault="00C0754B" w:rsidP="00A75688">
      <w:pPr>
        <w:pStyle w:val="Caption"/>
        <w:rPr>
          <w:rFonts w:ascii="Arial" w:eastAsiaTheme="majorEastAsia" w:hAnsi="Arial" w:cs="Arial"/>
          <w:b/>
          <w:bCs/>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7</w:t>
      </w:r>
      <w:r w:rsidRPr="00A75688">
        <w:rPr>
          <w:sz w:val="24"/>
          <w:szCs w:val="24"/>
        </w:rPr>
        <w:fldChar w:fldCharType="end"/>
      </w:r>
      <w:r w:rsidRPr="00A75688">
        <w:rPr>
          <w:sz w:val="24"/>
          <w:szCs w:val="24"/>
        </w:rPr>
        <w:t xml:space="preserve">. Cumulative explained variance for the first 10 principal components of the global SST field, showing how each additional component increases the total fraction of variance captured. </w:t>
      </w:r>
    </w:p>
    <w:p w14:paraId="0961623D" w14:textId="0EFBD948" w:rsidR="00C71531" w:rsidRPr="00C71531" w:rsidRDefault="00C71531" w:rsidP="00A75688">
      <w:pPr>
        <w:spacing w:after="160"/>
        <w:rPr>
          <w:rFonts w:ascii="Arial" w:hAnsi="Arial" w:cs="Arial"/>
        </w:rPr>
      </w:pPr>
      <w:r w:rsidRPr="00C71531">
        <w:rPr>
          <w:rFonts w:ascii="Arial" w:eastAsiaTheme="majorEastAsia" w:hAnsi="Arial" w:cs="Arial"/>
          <w:b/>
          <w:bCs/>
        </w:rPr>
        <w:t xml:space="preserve">Figure </w:t>
      </w:r>
      <w:r w:rsidR="00C0754B" w:rsidRPr="00A75688">
        <w:rPr>
          <w:rFonts w:ascii="Arial" w:eastAsiaTheme="majorEastAsia" w:hAnsi="Arial" w:cs="Arial"/>
          <w:b/>
          <w:bCs/>
        </w:rPr>
        <w:t>6</w:t>
      </w:r>
      <w:r w:rsidRPr="00C71531">
        <w:rPr>
          <w:rFonts w:ascii="Arial" w:hAnsi="Arial" w:cs="Arial"/>
        </w:rPr>
        <w:t xml:space="preserve"> (Scree Plot) </w:t>
      </w:r>
      <w:r w:rsidR="003253B5" w:rsidRPr="00A75688">
        <w:rPr>
          <w:rFonts w:ascii="Arial" w:hAnsi="Arial" w:cs="Arial"/>
        </w:rPr>
        <w:t xml:space="preserve">and </w:t>
      </w:r>
      <w:r w:rsidR="003253B5" w:rsidRPr="00A75688">
        <w:rPr>
          <w:rFonts w:ascii="Arial" w:hAnsi="Arial" w:cs="Arial"/>
          <w:b/>
          <w:bCs/>
        </w:rPr>
        <w:t>Figure 7</w:t>
      </w:r>
      <w:r w:rsidR="003253B5" w:rsidRPr="00A75688">
        <w:rPr>
          <w:rFonts w:ascii="Arial" w:hAnsi="Arial" w:cs="Arial"/>
        </w:rPr>
        <w:t xml:space="preserve"> (</w:t>
      </w:r>
      <w:r w:rsidR="003253B5" w:rsidRPr="00A75688">
        <w:rPr>
          <w:rFonts w:ascii="Arial" w:hAnsi="Arial" w:cs="Arial"/>
        </w:rPr>
        <w:t>Cumulative Explained Variance Plot</w:t>
      </w:r>
      <w:r w:rsidR="003253B5" w:rsidRPr="00A75688">
        <w:rPr>
          <w:rFonts w:ascii="Arial" w:hAnsi="Arial" w:cs="Arial"/>
        </w:rPr>
        <w:t xml:space="preserve">) </w:t>
      </w:r>
      <w:r w:rsidRPr="00C71531">
        <w:rPr>
          <w:rFonts w:ascii="Arial" w:hAnsi="Arial" w:cs="Arial"/>
        </w:rPr>
        <w:t>show the percentage of variance explained by each principal component.</w:t>
      </w:r>
      <w:r w:rsidR="00C0754B" w:rsidRPr="00A75688">
        <w:rPr>
          <w:rFonts w:ascii="Arial" w:hAnsi="Arial" w:cs="Arial"/>
        </w:rPr>
        <w:t xml:space="preserve"> </w:t>
      </w:r>
      <w:r w:rsidRPr="00C71531">
        <w:rPr>
          <w:rFonts w:ascii="Arial" w:hAnsi="Arial" w:cs="Arial"/>
        </w:rPr>
        <w:t xml:space="preserve">The first mode (PC1) </w:t>
      </w:r>
      <w:r w:rsidRPr="00C71531">
        <w:rPr>
          <w:rFonts w:ascii="Arial" w:hAnsi="Arial" w:cs="Arial"/>
        </w:rPr>
        <w:lastRenderedPageBreak/>
        <w:t xml:space="preserve">explains about </w:t>
      </w:r>
      <w:r w:rsidRPr="00C71531">
        <w:rPr>
          <w:rFonts w:ascii="Arial" w:eastAsiaTheme="majorEastAsia" w:hAnsi="Arial" w:cs="Arial"/>
          <w:b/>
          <w:bCs/>
        </w:rPr>
        <w:t>30.7%</w:t>
      </w:r>
      <w:r w:rsidRPr="00C71531">
        <w:rPr>
          <w:rFonts w:ascii="Arial" w:hAnsi="Arial" w:cs="Arial"/>
        </w:rPr>
        <w:t xml:space="preserve"> of the variance, the second mode (PC2) adds </w:t>
      </w:r>
      <w:r w:rsidRPr="00C71531">
        <w:rPr>
          <w:rFonts w:ascii="Arial" w:eastAsiaTheme="majorEastAsia" w:hAnsi="Arial" w:cs="Arial"/>
          <w:b/>
          <w:bCs/>
        </w:rPr>
        <w:t>26.6%</w:t>
      </w:r>
      <w:r w:rsidRPr="00C71531">
        <w:rPr>
          <w:rFonts w:ascii="Arial" w:hAnsi="Arial" w:cs="Arial"/>
        </w:rPr>
        <w:t xml:space="preserve">, and the third mode (PC3) adds </w:t>
      </w:r>
      <w:r w:rsidRPr="00C71531">
        <w:rPr>
          <w:rFonts w:ascii="Arial" w:eastAsiaTheme="majorEastAsia" w:hAnsi="Arial" w:cs="Arial"/>
          <w:b/>
          <w:bCs/>
        </w:rPr>
        <w:t>10.5%</w:t>
      </w:r>
      <w:r w:rsidRPr="00C71531">
        <w:rPr>
          <w:rFonts w:ascii="Arial" w:hAnsi="Arial" w:cs="Arial"/>
        </w:rPr>
        <w:t>. By the 10th mode, the total cumulative explained variance reaches 100%.</w:t>
      </w:r>
    </w:p>
    <w:tbl>
      <w:tblPr>
        <w:tblStyle w:val="TableGrid"/>
        <w:tblW w:w="0" w:type="auto"/>
        <w:jc w:val="center"/>
        <w:tblLook w:val="04A0" w:firstRow="1" w:lastRow="0" w:firstColumn="1" w:lastColumn="0" w:noHBand="0" w:noVBand="1"/>
      </w:tblPr>
      <w:tblGrid>
        <w:gridCol w:w="550"/>
        <w:gridCol w:w="1884"/>
        <w:gridCol w:w="1618"/>
        <w:gridCol w:w="2418"/>
        <w:gridCol w:w="2577"/>
      </w:tblGrid>
      <w:tr w:rsidR="00EC558C" w:rsidRPr="00A75688" w14:paraId="72053F9B" w14:textId="77777777" w:rsidTr="00EC558C">
        <w:trPr>
          <w:jc w:val="center"/>
        </w:trPr>
        <w:tc>
          <w:tcPr>
            <w:tcW w:w="0" w:type="auto"/>
            <w:hideMark/>
          </w:tcPr>
          <w:p w14:paraId="7802777A" w14:textId="77777777" w:rsidR="00C71531" w:rsidRPr="00C71531" w:rsidRDefault="00C71531" w:rsidP="00A75688">
            <w:pPr>
              <w:spacing w:after="160"/>
              <w:rPr>
                <w:rFonts w:ascii="Arial" w:hAnsi="Arial" w:cs="Arial"/>
                <w:b/>
                <w:bCs/>
              </w:rPr>
            </w:pPr>
            <w:r w:rsidRPr="00C71531">
              <w:rPr>
                <w:rFonts w:ascii="Arial" w:hAnsi="Arial" w:cs="Arial"/>
                <w:b/>
                <w:bCs/>
              </w:rPr>
              <w:t>PC</w:t>
            </w:r>
          </w:p>
        </w:tc>
        <w:tc>
          <w:tcPr>
            <w:tcW w:w="0" w:type="auto"/>
            <w:hideMark/>
          </w:tcPr>
          <w:p w14:paraId="11AE81CD" w14:textId="77777777" w:rsidR="00C71531" w:rsidRPr="00C71531" w:rsidRDefault="00C71531" w:rsidP="00A75688">
            <w:pPr>
              <w:spacing w:after="160"/>
              <w:rPr>
                <w:rFonts w:ascii="Arial" w:hAnsi="Arial" w:cs="Arial"/>
                <w:b/>
                <w:bCs/>
              </w:rPr>
            </w:pPr>
            <w:r w:rsidRPr="00C71531">
              <w:rPr>
                <w:rFonts w:ascii="Arial" w:hAnsi="Arial" w:cs="Arial"/>
                <w:b/>
                <w:bCs/>
              </w:rPr>
              <w:t>Singular Value</w:t>
            </w:r>
          </w:p>
        </w:tc>
        <w:tc>
          <w:tcPr>
            <w:tcW w:w="0" w:type="auto"/>
            <w:hideMark/>
          </w:tcPr>
          <w:p w14:paraId="6EB66053" w14:textId="77777777" w:rsidR="00C71531" w:rsidRPr="00C71531" w:rsidRDefault="00C71531" w:rsidP="00A75688">
            <w:pPr>
              <w:spacing w:after="160"/>
              <w:rPr>
                <w:rFonts w:ascii="Arial" w:hAnsi="Arial" w:cs="Arial"/>
                <w:b/>
                <w:bCs/>
              </w:rPr>
            </w:pPr>
            <w:r w:rsidRPr="00C71531">
              <w:rPr>
                <w:rFonts w:ascii="Arial" w:hAnsi="Arial" w:cs="Arial"/>
                <w:b/>
                <w:bCs/>
              </w:rPr>
              <w:t>Eigenvalue</w:t>
            </w:r>
          </w:p>
        </w:tc>
        <w:tc>
          <w:tcPr>
            <w:tcW w:w="0" w:type="auto"/>
            <w:hideMark/>
          </w:tcPr>
          <w:p w14:paraId="659A3B99" w14:textId="2DFD183F" w:rsidR="00C71531" w:rsidRPr="00C71531" w:rsidRDefault="00EC558C" w:rsidP="00A75688">
            <w:pPr>
              <w:spacing w:after="160"/>
              <w:rPr>
                <w:rFonts w:ascii="Arial" w:hAnsi="Arial" w:cs="Arial"/>
                <w:b/>
                <w:bCs/>
              </w:rPr>
            </w:pPr>
            <w:r w:rsidRPr="00A75688">
              <w:rPr>
                <w:rFonts w:ascii="Arial" w:hAnsi="Arial" w:cs="Arial"/>
                <w:b/>
                <w:bCs/>
              </w:rPr>
              <w:t>Explained Variance</w:t>
            </w:r>
          </w:p>
        </w:tc>
        <w:tc>
          <w:tcPr>
            <w:tcW w:w="0" w:type="auto"/>
            <w:hideMark/>
          </w:tcPr>
          <w:p w14:paraId="68ED488D" w14:textId="54131887" w:rsidR="00C71531" w:rsidRPr="00C71531" w:rsidRDefault="00EC558C" w:rsidP="00A75688">
            <w:pPr>
              <w:spacing w:after="160"/>
              <w:rPr>
                <w:rFonts w:ascii="Arial" w:hAnsi="Arial" w:cs="Arial"/>
                <w:b/>
                <w:bCs/>
              </w:rPr>
            </w:pPr>
            <w:r w:rsidRPr="00A75688">
              <w:rPr>
                <w:rFonts w:ascii="Arial" w:hAnsi="Arial" w:cs="Arial"/>
                <w:b/>
                <w:bCs/>
              </w:rPr>
              <w:t>Cumulative Variance</w:t>
            </w:r>
          </w:p>
        </w:tc>
      </w:tr>
      <w:tr w:rsidR="00EC558C" w:rsidRPr="00A75688" w14:paraId="26A34707" w14:textId="77777777" w:rsidTr="00EC558C">
        <w:trPr>
          <w:jc w:val="center"/>
        </w:trPr>
        <w:tc>
          <w:tcPr>
            <w:tcW w:w="0" w:type="auto"/>
            <w:hideMark/>
          </w:tcPr>
          <w:p w14:paraId="4E661D36" w14:textId="77777777" w:rsidR="00C71531" w:rsidRPr="00C71531" w:rsidRDefault="00C71531" w:rsidP="00A75688">
            <w:pPr>
              <w:spacing w:after="160"/>
              <w:rPr>
                <w:rFonts w:ascii="Arial" w:hAnsi="Arial" w:cs="Arial"/>
              </w:rPr>
            </w:pPr>
            <w:r w:rsidRPr="00C71531">
              <w:rPr>
                <w:rFonts w:ascii="Arial" w:hAnsi="Arial" w:cs="Arial"/>
              </w:rPr>
              <w:t>1</w:t>
            </w:r>
          </w:p>
        </w:tc>
        <w:tc>
          <w:tcPr>
            <w:tcW w:w="0" w:type="auto"/>
            <w:hideMark/>
          </w:tcPr>
          <w:p w14:paraId="3E7B7CDB" w14:textId="77777777" w:rsidR="00C71531" w:rsidRPr="00C71531" w:rsidRDefault="00C71531" w:rsidP="00A75688">
            <w:pPr>
              <w:spacing w:after="160"/>
              <w:rPr>
                <w:rFonts w:ascii="Arial" w:hAnsi="Arial" w:cs="Arial"/>
              </w:rPr>
            </w:pPr>
            <w:r w:rsidRPr="00C71531">
              <w:rPr>
                <w:rFonts w:ascii="Arial" w:hAnsi="Arial" w:cs="Arial"/>
              </w:rPr>
              <w:t>839.065002</w:t>
            </w:r>
          </w:p>
        </w:tc>
        <w:tc>
          <w:tcPr>
            <w:tcW w:w="0" w:type="auto"/>
            <w:hideMark/>
          </w:tcPr>
          <w:p w14:paraId="2271A80A" w14:textId="77777777" w:rsidR="00C71531" w:rsidRPr="00C71531" w:rsidRDefault="00C71531" w:rsidP="00A75688">
            <w:pPr>
              <w:spacing w:after="160"/>
              <w:rPr>
                <w:rFonts w:ascii="Arial" w:hAnsi="Arial" w:cs="Arial"/>
              </w:rPr>
            </w:pPr>
            <w:r w:rsidRPr="00C71531">
              <w:rPr>
                <w:rFonts w:ascii="Arial" w:hAnsi="Arial" w:cs="Arial"/>
              </w:rPr>
              <w:t>1469.791382</w:t>
            </w:r>
          </w:p>
        </w:tc>
        <w:tc>
          <w:tcPr>
            <w:tcW w:w="0" w:type="auto"/>
            <w:hideMark/>
          </w:tcPr>
          <w:p w14:paraId="7D48503C" w14:textId="77777777" w:rsidR="00C71531" w:rsidRPr="00C71531" w:rsidRDefault="00C71531" w:rsidP="00A75688">
            <w:pPr>
              <w:spacing w:after="160"/>
              <w:rPr>
                <w:rFonts w:ascii="Arial" w:hAnsi="Arial" w:cs="Arial"/>
              </w:rPr>
            </w:pPr>
            <w:r w:rsidRPr="00C71531">
              <w:rPr>
                <w:rFonts w:ascii="Arial" w:hAnsi="Arial" w:cs="Arial"/>
              </w:rPr>
              <w:t>0.307217</w:t>
            </w:r>
          </w:p>
        </w:tc>
        <w:tc>
          <w:tcPr>
            <w:tcW w:w="0" w:type="auto"/>
            <w:hideMark/>
          </w:tcPr>
          <w:p w14:paraId="5A3B0E5F" w14:textId="77777777" w:rsidR="00C71531" w:rsidRPr="00C71531" w:rsidRDefault="00C71531" w:rsidP="00A75688">
            <w:pPr>
              <w:spacing w:after="160"/>
              <w:rPr>
                <w:rFonts w:ascii="Arial" w:hAnsi="Arial" w:cs="Arial"/>
              </w:rPr>
            </w:pPr>
            <w:r w:rsidRPr="00C71531">
              <w:rPr>
                <w:rFonts w:ascii="Arial" w:hAnsi="Arial" w:cs="Arial"/>
              </w:rPr>
              <w:t>0.307217</w:t>
            </w:r>
          </w:p>
        </w:tc>
      </w:tr>
      <w:tr w:rsidR="00C71531" w:rsidRPr="00C71531" w14:paraId="716B93E4" w14:textId="77777777" w:rsidTr="00EC558C">
        <w:trPr>
          <w:jc w:val="center"/>
        </w:trPr>
        <w:tc>
          <w:tcPr>
            <w:tcW w:w="0" w:type="auto"/>
            <w:hideMark/>
          </w:tcPr>
          <w:p w14:paraId="60E89C53" w14:textId="77777777" w:rsidR="00C71531" w:rsidRPr="00C71531" w:rsidRDefault="00C71531" w:rsidP="00A75688">
            <w:pPr>
              <w:spacing w:after="160"/>
              <w:rPr>
                <w:rFonts w:ascii="Arial" w:hAnsi="Arial" w:cs="Arial"/>
              </w:rPr>
            </w:pPr>
            <w:r w:rsidRPr="00C71531">
              <w:rPr>
                <w:rFonts w:ascii="Arial" w:hAnsi="Arial" w:cs="Arial"/>
              </w:rPr>
              <w:t>2</w:t>
            </w:r>
          </w:p>
        </w:tc>
        <w:tc>
          <w:tcPr>
            <w:tcW w:w="0" w:type="auto"/>
            <w:hideMark/>
          </w:tcPr>
          <w:p w14:paraId="56C2129D" w14:textId="77777777" w:rsidR="00C71531" w:rsidRPr="00C71531" w:rsidRDefault="00C71531" w:rsidP="00A75688">
            <w:pPr>
              <w:spacing w:after="160"/>
              <w:rPr>
                <w:rFonts w:ascii="Arial" w:hAnsi="Arial" w:cs="Arial"/>
              </w:rPr>
            </w:pPr>
            <w:r w:rsidRPr="00C71531">
              <w:rPr>
                <w:rFonts w:ascii="Arial" w:hAnsi="Arial" w:cs="Arial"/>
              </w:rPr>
              <w:t>780.367615</w:t>
            </w:r>
          </w:p>
        </w:tc>
        <w:tc>
          <w:tcPr>
            <w:tcW w:w="0" w:type="auto"/>
            <w:hideMark/>
          </w:tcPr>
          <w:p w14:paraId="6E50F18A" w14:textId="77777777" w:rsidR="00C71531" w:rsidRPr="00C71531" w:rsidRDefault="00C71531" w:rsidP="00A75688">
            <w:pPr>
              <w:spacing w:after="160"/>
              <w:rPr>
                <w:rFonts w:ascii="Arial" w:hAnsi="Arial" w:cs="Arial"/>
              </w:rPr>
            </w:pPr>
            <w:r w:rsidRPr="00C71531">
              <w:rPr>
                <w:rFonts w:ascii="Arial" w:hAnsi="Arial" w:cs="Arial"/>
              </w:rPr>
              <w:t>1271.343628</w:t>
            </w:r>
          </w:p>
        </w:tc>
        <w:tc>
          <w:tcPr>
            <w:tcW w:w="0" w:type="auto"/>
            <w:hideMark/>
          </w:tcPr>
          <w:p w14:paraId="324F398A" w14:textId="77777777" w:rsidR="00C71531" w:rsidRPr="00C71531" w:rsidRDefault="00C71531" w:rsidP="00A75688">
            <w:pPr>
              <w:spacing w:after="160"/>
              <w:rPr>
                <w:rFonts w:ascii="Arial" w:hAnsi="Arial" w:cs="Arial"/>
              </w:rPr>
            </w:pPr>
            <w:r w:rsidRPr="00C71531">
              <w:rPr>
                <w:rFonts w:ascii="Arial" w:hAnsi="Arial" w:cs="Arial"/>
              </w:rPr>
              <w:t>0.265737</w:t>
            </w:r>
          </w:p>
        </w:tc>
        <w:tc>
          <w:tcPr>
            <w:tcW w:w="0" w:type="auto"/>
            <w:hideMark/>
          </w:tcPr>
          <w:p w14:paraId="245F2718" w14:textId="77777777" w:rsidR="00C71531" w:rsidRPr="00C71531" w:rsidRDefault="00C71531" w:rsidP="00A75688">
            <w:pPr>
              <w:spacing w:after="160"/>
              <w:rPr>
                <w:rFonts w:ascii="Arial" w:hAnsi="Arial" w:cs="Arial"/>
              </w:rPr>
            </w:pPr>
            <w:r w:rsidRPr="00C71531">
              <w:rPr>
                <w:rFonts w:ascii="Arial" w:hAnsi="Arial" w:cs="Arial"/>
              </w:rPr>
              <w:t>0.572955</w:t>
            </w:r>
          </w:p>
        </w:tc>
      </w:tr>
      <w:tr w:rsidR="00EC558C" w:rsidRPr="00A75688" w14:paraId="7FD09EA7" w14:textId="77777777" w:rsidTr="00EC558C">
        <w:trPr>
          <w:jc w:val="center"/>
        </w:trPr>
        <w:tc>
          <w:tcPr>
            <w:tcW w:w="0" w:type="auto"/>
            <w:hideMark/>
          </w:tcPr>
          <w:p w14:paraId="4715794E" w14:textId="77777777" w:rsidR="00C71531" w:rsidRPr="00C71531" w:rsidRDefault="00C71531" w:rsidP="00A75688">
            <w:pPr>
              <w:spacing w:after="160"/>
              <w:rPr>
                <w:rFonts w:ascii="Arial" w:hAnsi="Arial" w:cs="Arial"/>
              </w:rPr>
            </w:pPr>
            <w:r w:rsidRPr="00C71531">
              <w:rPr>
                <w:rFonts w:ascii="Arial" w:hAnsi="Arial" w:cs="Arial"/>
              </w:rPr>
              <w:t>3</w:t>
            </w:r>
          </w:p>
        </w:tc>
        <w:tc>
          <w:tcPr>
            <w:tcW w:w="0" w:type="auto"/>
            <w:hideMark/>
          </w:tcPr>
          <w:p w14:paraId="1DDB7955" w14:textId="77777777" w:rsidR="00C71531" w:rsidRPr="00C71531" w:rsidRDefault="00C71531" w:rsidP="00A75688">
            <w:pPr>
              <w:spacing w:after="160"/>
              <w:rPr>
                <w:rFonts w:ascii="Arial" w:hAnsi="Arial" w:cs="Arial"/>
              </w:rPr>
            </w:pPr>
            <w:r w:rsidRPr="00C71531">
              <w:rPr>
                <w:rFonts w:ascii="Arial" w:hAnsi="Arial" w:cs="Arial"/>
              </w:rPr>
              <w:t>491.199829</w:t>
            </w:r>
          </w:p>
        </w:tc>
        <w:tc>
          <w:tcPr>
            <w:tcW w:w="0" w:type="auto"/>
            <w:hideMark/>
          </w:tcPr>
          <w:p w14:paraId="07CA7D1C" w14:textId="77777777" w:rsidR="00C71531" w:rsidRPr="00C71531" w:rsidRDefault="00C71531" w:rsidP="00A75688">
            <w:pPr>
              <w:spacing w:after="160"/>
              <w:rPr>
                <w:rFonts w:ascii="Arial" w:hAnsi="Arial" w:cs="Arial"/>
              </w:rPr>
            </w:pPr>
            <w:r w:rsidRPr="00C71531">
              <w:rPr>
                <w:rFonts w:ascii="Arial" w:hAnsi="Arial" w:cs="Arial"/>
              </w:rPr>
              <w:t>503.710358</w:t>
            </w:r>
          </w:p>
        </w:tc>
        <w:tc>
          <w:tcPr>
            <w:tcW w:w="0" w:type="auto"/>
            <w:hideMark/>
          </w:tcPr>
          <w:p w14:paraId="7E2E5CBB" w14:textId="77777777" w:rsidR="00C71531" w:rsidRPr="00C71531" w:rsidRDefault="00C71531" w:rsidP="00A75688">
            <w:pPr>
              <w:spacing w:after="160"/>
              <w:rPr>
                <w:rFonts w:ascii="Arial" w:hAnsi="Arial" w:cs="Arial"/>
              </w:rPr>
            </w:pPr>
            <w:r w:rsidRPr="00C71531">
              <w:rPr>
                <w:rFonts w:ascii="Arial" w:hAnsi="Arial" w:cs="Arial"/>
              </w:rPr>
              <w:t>0.105286</w:t>
            </w:r>
          </w:p>
        </w:tc>
        <w:tc>
          <w:tcPr>
            <w:tcW w:w="0" w:type="auto"/>
            <w:hideMark/>
          </w:tcPr>
          <w:p w14:paraId="53A86FAA" w14:textId="77777777" w:rsidR="00C71531" w:rsidRPr="00C71531" w:rsidRDefault="00C71531" w:rsidP="00A75688">
            <w:pPr>
              <w:spacing w:after="160"/>
              <w:rPr>
                <w:rFonts w:ascii="Arial" w:hAnsi="Arial" w:cs="Arial"/>
              </w:rPr>
            </w:pPr>
            <w:r w:rsidRPr="00C71531">
              <w:rPr>
                <w:rFonts w:ascii="Arial" w:hAnsi="Arial" w:cs="Arial"/>
              </w:rPr>
              <w:t>0.678241</w:t>
            </w:r>
          </w:p>
        </w:tc>
      </w:tr>
      <w:tr w:rsidR="00C71531" w:rsidRPr="00C71531" w14:paraId="198A5617" w14:textId="77777777" w:rsidTr="00EC558C">
        <w:trPr>
          <w:jc w:val="center"/>
        </w:trPr>
        <w:tc>
          <w:tcPr>
            <w:tcW w:w="0" w:type="auto"/>
            <w:hideMark/>
          </w:tcPr>
          <w:p w14:paraId="01635AF7" w14:textId="77777777" w:rsidR="00C71531" w:rsidRPr="00C71531" w:rsidRDefault="00C71531" w:rsidP="00A75688">
            <w:pPr>
              <w:spacing w:after="160"/>
              <w:rPr>
                <w:rFonts w:ascii="Arial" w:hAnsi="Arial" w:cs="Arial"/>
              </w:rPr>
            </w:pPr>
            <w:r w:rsidRPr="00C71531">
              <w:rPr>
                <w:rFonts w:ascii="Arial" w:hAnsi="Arial" w:cs="Arial"/>
              </w:rPr>
              <w:t>4</w:t>
            </w:r>
          </w:p>
        </w:tc>
        <w:tc>
          <w:tcPr>
            <w:tcW w:w="0" w:type="auto"/>
            <w:hideMark/>
          </w:tcPr>
          <w:p w14:paraId="5BA57797" w14:textId="77777777" w:rsidR="00C71531" w:rsidRPr="00C71531" w:rsidRDefault="00C71531" w:rsidP="00A75688">
            <w:pPr>
              <w:spacing w:after="160"/>
              <w:rPr>
                <w:rFonts w:ascii="Arial" w:hAnsi="Arial" w:cs="Arial"/>
              </w:rPr>
            </w:pPr>
            <w:r w:rsidRPr="00C71531">
              <w:rPr>
                <w:rFonts w:ascii="Arial" w:hAnsi="Arial" w:cs="Arial"/>
              </w:rPr>
              <w:t>376.371002</w:t>
            </w:r>
          </w:p>
        </w:tc>
        <w:tc>
          <w:tcPr>
            <w:tcW w:w="0" w:type="auto"/>
            <w:hideMark/>
          </w:tcPr>
          <w:p w14:paraId="75E9CF18" w14:textId="77777777" w:rsidR="00C71531" w:rsidRPr="00C71531" w:rsidRDefault="00C71531" w:rsidP="00A75688">
            <w:pPr>
              <w:spacing w:after="160"/>
              <w:rPr>
                <w:rFonts w:ascii="Arial" w:hAnsi="Arial" w:cs="Arial"/>
              </w:rPr>
            </w:pPr>
            <w:r w:rsidRPr="00C71531">
              <w:rPr>
                <w:rFonts w:ascii="Arial" w:hAnsi="Arial" w:cs="Arial"/>
              </w:rPr>
              <w:t>295.730957</w:t>
            </w:r>
          </w:p>
        </w:tc>
        <w:tc>
          <w:tcPr>
            <w:tcW w:w="0" w:type="auto"/>
            <w:hideMark/>
          </w:tcPr>
          <w:p w14:paraId="25BABEF6" w14:textId="77777777" w:rsidR="00C71531" w:rsidRPr="00C71531" w:rsidRDefault="00C71531" w:rsidP="00A75688">
            <w:pPr>
              <w:spacing w:after="160"/>
              <w:rPr>
                <w:rFonts w:ascii="Arial" w:hAnsi="Arial" w:cs="Arial"/>
              </w:rPr>
            </w:pPr>
            <w:r w:rsidRPr="00C71531">
              <w:rPr>
                <w:rFonts w:ascii="Arial" w:hAnsi="Arial" w:cs="Arial"/>
              </w:rPr>
              <w:t>0.061814</w:t>
            </w:r>
          </w:p>
        </w:tc>
        <w:tc>
          <w:tcPr>
            <w:tcW w:w="0" w:type="auto"/>
            <w:hideMark/>
          </w:tcPr>
          <w:p w14:paraId="083CA4C9" w14:textId="77777777" w:rsidR="00C71531" w:rsidRPr="00C71531" w:rsidRDefault="00C71531" w:rsidP="00A75688">
            <w:pPr>
              <w:spacing w:after="160"/>
              <w:rPr>
                <w:rFonts w:ascii="Arial" w:hAnsi="Arial" w:cs="Arial"/>
              </w:rPr>
            </w:pPr>
            <w:r w:rsidRPr="00C71531">
              <w:rPr>
                <w:rFonts w:ascii="Arial" w:hAnsi="Arial" w:cs="Arial"/>
              </w:rPr>
              <w:t>0.740055</w:t>
            </w:r>
          </w:p>
        </w:tc>
      </w:tr>
      <w:tr w:rsidR="00EC558C" w:rsidRPr="00A75688" w14:paraId="46D8D8E6" w14:textId="77777777" w:rsidTr="00EC558C">
        <w:trPr>
          <w:jc w:val="center"/>
        </w:trPr>
        <w:tc>
          <w:tcPr>
            <w:tcW w:w="0" w:type="auto"/>
            <w:hideMark/>
          </w:tcPr>
          <w:p w14:paraId="6B156421" w14:textId="77777777" w:rsidR="00C71531" w:rsidRPr="00C71531" w:rsidRDefault="00C71531" w:rsidP="00A75688">
            <w:pPr>
              <w:spacing w:after="160"/>
              <w:rPr>
                <w:rFonts w:ascii="Arial" w:hAnsi="Arial" w:cs="Arial"/>
              </w:rPr>
            </w:pPr>
            <w:r w:rsidRPr="00C71531">
              <w:rPr>
                <w:rFonts w:ascii="Arial" w:hAnsi="Arial" w:cs="Arial"/>
              </w:rPr>
              <w:t>5</w:t>
            </w:r>
          </w:p>
        </w:tc>
        <w:tc>
          <w:tcPr>
            <w:tcW w:w="0" w:type="auto"/>
            <w:hideMark/>
          </w:tcPr>
          <w:p w14:paraId="2EAF3389" w14:textId="77777777" w:rsidR="00C71531" w:rsidRPr="00C71531" w:rsidRDefault="00C71531" w:rsidP="00A75688">
            <w:pPr>
              <w:spacing w:after="160"/>
              <w:rPr>
                <w:rFonts w:ascii="Arial" w:hAnsi="Arial" w:cs="Arial"/>
              </w:rPr>
            </w:pPr>
            <w:r w:rsidRPr="00C71531">
              <w:rPr>
                <w:rFonts w:ascii="Arial" w:hAnsi="Arial" w:cs="Arial"/>
              </w:rPr>
              <w:t>349.753662</w:t>
            </w:r>
          </w:p>
        </w:tc>
        <w:tc>
          <w:tcPr>
            <w:tcW w:w="0" w:type="auto"/>
            <w:hideMark/>
          </w:tcPr>
          <w:p w14:paraId="1258D7AE" w14:textId="77777777" w:rsidR="00C71531" w:rsidRPr="00C71531" w:rsidRDefault="00C71531" w:rsidP="00A75688">
            <w:pPr>
              <w:spacing w:after="160"/>
              <w:rPr>
                <w:rFonts w:ascii="Arial" w:hAnsi="Arial" w:cs="Arial"/>
              </w:rPr>
            </w:pPr>
            <w:r w:rsidRPr="00C71531">
              <w:rPr>
                <w:rFonts w:ascii="Arial" w:hAnsi="Arial" w:cs="Arial"/>
              </w:rPr>
              <w:t>255.381256</w:t>
            </w:r>
          </w:p>
        </w:tc>
        <w:tc>
          <w:tcPr>
            <w:tcW w:w="0" w:type="auto"/>
            <w:hideMark/>
          </w:tcPr>
          <w:p w14:paraId="7556D792" w14:textId="77777777" w:rsidR="00C71531" w:rsidRPr="00C71531" w:rsidRDefault="00C71531" w:rsidP="00A75688">
            <w:pPr>
              <w:spacing w:after="160"/>
              <w:rPr>
                <w:rFonts w:ascii="Arial" w:hAnsi="Arial" w:cs="Arial"/>
              </w:rPr>
            </w:pPr>
            <w:r w:rsidRPr="00C71531">
              <w:rPr>
                <w:rFonts w:ascii="Arial" w:hAnsi="Arial" w:cs="Arial"/>
              </w:rPr>
              <w:t>0.053380</w:t>
            </w:r>
          </w:p>
        </w:tc>
        <w:tc>
          <w:tcPr>
            <w:tcW w:w="0" w:type="auto"/>
            <w:hideMark/>
          </w:tcPr>
          <w:p w14:paraId="1F98E012" w14:textId="77777777" w:rsidR="00C71531" w:rsidRPr="00C71531" w:rsidRDefault="00C71531" w:rsidP="00A75688">
            <w:pPr>
              <w:spacing w:after="160"/>
              <w:rPr>
                <w:rFonts w:ascii="Arial" w:hAnsi="Arial" w:cs="Arial"/>
              </w:rPr>
            </w:pPr>
            <w:r w:rsidRPr="00C71531">
              <w:rPr>
                <w:rFonts w:ascii="Arial" w:hAnsi="Arial" w:cs="Arial"/>
              </w:rPr>
              <w:t>0.793435</w:t>
            </w:r>
          </w:p>
        </w:tc>
      </w:tr>
      <w:tr w:rsidR="00C71531" w:rsidRPr="00C71531" w14:paraId="7062C58F" w14:textId="77777777" w:rsidTr="00EC558C">
        <w:trPr>
          <w:jc w:val="center"/>
        </w:trPr>
        <w:tc>
          <w:tcPr>
            <w:tcW w:w="0" w:type="auto"/>
            <w:hideMark/>
          </w:tcPr>
          <w:p w14:paraId="0805B88A" w14:textId="77777777" w:rsidR="00C71531" w:rsidRPr="00C71531" w:rsidRDefault="00C71531" w:rsidP="00A75688">
            <w:pPr>
              <w:spacing w:after="160"/>
              <w:rPr>
                <w:rFonts w:ascii="Arial" w:hAnsi="Arial" w:cs="Arial"/>
              </w:rPr>
            </w:pPr>
            <w:r w:rsidRPr="00C71531">
              <w:rPr>
                <w:rFonts w:ascii="Arial" w:hAnsi="Arial" w:cs="Arial"/>
              </w:rPr>
              <w:t>6</w:t>
            </w:r>
          </w:p>
        </w:tc>
        <w:tc>
          <w:tcPr>
            <w:tcW w:w="0" w:type="auto"/>
            <w:hideMark/>
          </w:tcPr>
          <w:p w14:paraId="5E853676" w14:textId="77777777" w:rsidR="00C71531" w:rsidRPr="00C71531" w:rsidRDefault="00C71531" w:rsidP="00A75688">
            <w:pPr>
              <w:spacing w:after="160"/>
              <w:rPr>
                <w:rFonts w:ascii="Arial" w:hAnsi="Arial" w:cs="Arial"/>
              </w:rPr>
            </w:pPr>
            <w:r w:rsidRPr="00C71531">
              <w:rPr>
                <w:rFonts w:ascii="Arial" w:hAnsi="Arial" w:cs="Arial"/>
              </w:rPr>
              <w:t>342.582581</w:t>
            </w:r>
          </w:p>
        </w:tc>
        <w:tc>
          <w:tcPr>
            <w:tcW w:w="0" w:type="auto"/>
            <w:hideMark/>
          </w:tcPr>
          <w:p w14:paraId="37872CC7" w14:textId="77777777" w:rsidR="00C71531" w:rsidRPr="00C71531" w:rsidRDefault="00C71531" w:rsidP="00A75688">
            <w:pPr>
              <w:spacing w:after="160"/>
              <w:rPr>
                <w:rFonts w:ascii="Arial" w:hAnsi="Arial" w:cs="Arial"/>
              </w:rPr>
            </w:pPr>
            <w:r w:rsidRPr="00C71531">
              <w:rPr>
                <w:rFonts w:ascii="Arial" w:hAnsi="Arial" w:cs="Arial"/>
              </w:rPr>
              <w:t>245.016342</w:t>
            </w:r>
          </w:p>
        </w:tc>
        <w:tc>
          <w:tcPr>
            <w:tcW w:w="0" w:type="auto"/>
            <w:hideMark/>
          </w:tcPr>
          <w:p w14:paraId="57CD94F3" w14:textId="77777777" w:rsidR="00C71531" w:rsidRPr="00C71531" w:rsidRDefault="00C71531" w:rsidP="00A75688">
            <w:pPr>
              <w:spacing w:after="160"/>
              <w:rPr>
                <w:rFonts w:ascii="Arial" w:hAnsi="Arial" w:cs="Arial"/>
              </w:rPr>
            </w:pPr>
            <w:r w:rsidRPr="00C71531">
              <w:rPr>
                <w:rFonts w:ascii="Arial" w:hAnsi="Arial" w:cs="Arial"/>
              </w:rPr>
              <w:t>0.051214</w:t>
            </w:r>
          </w:p>
        </w:tc>
        <w:tc>
          <w:tcPr>
            <w:tcW w:w="0" w:type="auto"/>
            <w:hideMark/>
          </w:tcPr>
          <w:p w14:paraId="04D81322" w14:textId="77777777" w:rsidR="00C71531" w:rsidRPr="00C71531" w:rsidRDefault="00C71531" w:rsidP="00A75688">
            <w:pPr>
              <w:spacing w:after="160"/>
              <w:rPr>
                <w:rFonts w:ascii="Arial" w:hAnsi="Arial" w:cs="Arial"/>
              </w:rPr>
            </w:pPr>
            <w:r w:rsidRPr="00C71531">
              <w:rPr>
                <w:rFonts w:ascii="Arial" w:hAnsi="Arial" w:cs="Arial"/>
              </w:rPr>
              <w:t>0.844648</w:t>
            </w:r>
          </w:p>
        </w:tc>
      </w:tr>
      <w:tr w:rsidR="00EC558C" w:rsidRPr="00A75688" w14:paraId="612A6590" w14:textId="77777777" w:rsidTr="00EC558C">
        <w:trPr>
          <w:jc w:val="center"/>
        </w:trPr>
        <w:tc>
          <w:tcPr>
            <w:tcW w:w="0" w:type="auto"/>
            <w:hideMark/>
          </w:tcPr>
          <w:p w14:paraId="1841E05C" w14:textId="77777777" w:rsidR="00C71531" w:rsidRPr="00C71531" w:rsidRDefault="00C71531" w:rsidP="00A75688">
            <w:pPr>
              <w:spacing w:after="160"/>
              <w:rPr>
                <w:rFonts w:ascii="Arial" w:hAnsi="Arial" w:cs="Arial"/>
              </w:rPr>
            </w:pPr>
            <w:r w:rsidRPr="00C71531">
              <w:rPr>
                <w:rFonts w:ascii="Arial" w:hAnsi="Arial" w:cs="Arial"/>
              </w:rPr>
              <w:t>7</w:t>
            </w:r>
          </w:p>
        </w:tc>
        <w:tc>
          <w:tcPr>
            <w:tcW w:w="0" w:type="auto"/>
            <w:hideMark/>
          </w:tcPr>
          <w:p w14:paraId="3248E1FE" w14:textId="77777777" w:rsidR="00C71531" w:rsidRPr="00C71531" w:rsidRDefault="00C71531" w:rsidP="00A75688">
            <w:pPr>
              <w:spacing w:after="160"/>
              <w:rPr>
                <w:rFonts w:ascii="Arial" w:hAnsi="Arial" w:cs="Arial"/>
              </w:rPr>
            </w:pPr>
            <w:r w:rsidRPr="00C71531">
              <w:rPr>
                <w:rFonts w:ascii="Arial" w:hAnsi="Arial" w:cs="Arial"/>
              </w:rPr>
              <w:t>314.748535</w:t>
            </w:r>
          </w:p>
        </w:tc>
        <w:tc>
          <w:tcPr>
            <w:tcW w:w="0" w:type="auto"/>
            <w:hideMark/>
          </w:tcPr>
          <w:p w14:paraId="3112AC6F" w14:textId="77777777" w:rsidR="00C71531" w:rsidRPr="00C71531" w:rsidRDefault="00C71531" w:rsidP="00A75688">
            <w:pPr>
              <w:spacing w:after="160"/>
              <w:rPr>
                <w:rFonts w:ascii="Arial" w:hAnsi="Arial" w:cs="Arial"/>
              </w:rPr>
            </w:pPr>
            <w:r w:rsidRPr="00C71531">
              <w:rPr>
                <w:rFonts w:ascii="Arial" w:hAnsi="Arial" w:cs="Arial"/>
              </w:rPr>
              <w:t>206.819702</w:t>
            </w:r>
          </w:p>
        </w:tc>
        <w:tc>
          <w:tcPr>
            <w:tcW w:w="0" w:type="auto"/>
            <w:hideMark/>
          </w:tcPr>
          <w:p w14:paraId="346DEC07" w14:textId="77777777" w:rsidR="00C71531" w:rsidRPr="00C71531" w:rsidRDefault="00C71531" w:rsidP="00A75688">
            <w:pPr>
              <w:spacing w:after="160"/>
              <w:rPr>
                <w:rFonts w:ascii="Arial" w:hAnsi="Arial" w:cs="Arial"/>
              </w:rPr>
            </w:pPr>
            <w:r w:rsidRPr="00C71531">
              <w:rPr>
                <w:rFonts w:ascii="Arial" w:hAnsi="Arial" w:cs="Arial"/>
              </w:rPr>
              <w:t>0.043230</w:t>
            </w:r>
          </w:p>
        </w:tc>
        <w:tc>
          <w:tcPr>
            <w:tcW w:w="0" w:type="auto"/>
            <w:hideMark/>
          </w:tcPr>
          <w:p w14:paraId="780489E1" w14:textId="77777777" w:rsidR="00C71531" w:rsidRPr="00C71531" w:rsidRDefault="00C71531" w:rsidP="00A75688">
            <w:pPr>
              <w:spacing w:after="160"/>
              <w:rPr>
                <w:rFonts w:ascii="Arial" w:hAnsi="Arial" w:cs="Arial"/>
              </w:rPr>
            </w:pPr>
            <w:r w:rsidRPr="00C71531">
              <w:rPr>
                <w:rFonts w:ascii="Arial" w:hAnsi="Arial" w:cs="Arial"/>
              </w:rPr>
              <w:t>0.887878</w:t>
            </w:r>
          </w:p>
        </w:tc>
      </w:tr>
      <w:tr w:rsidR="00C71531" w:rsidRPr="00C71531" w14:paraId="6ACE1E7F" w14:textId="77777777" w:rsidTr="00EC558C">
        <w:trPr>
          <w:jc w:val="center"/>
        </w:trPr>
        <w:tc>
          <w:tcPr>
            <w:tcW w:w="0" w:type="auto"/>
            <w:hideMark/>
          </w:tcPr>
          <w:p w14:paraId="328723A6" w14:textId="77777777" w:rsidR="00C71531" w:rsidRPr="00C71531" w:rsidRDefault="00C71531" w:rsidP="00A75688">
            <w:pPr>
              <w:spacing w:after="160"/>
              <w:rPr>
                <w:rFonts w:ascii="Arial" w:hAnsi="Arial" w:cs="Arial"/>
              </w:rPr>
            </w:pPr>
            <w:r w:rsidRPr="00C71531">
              <w:rPr>
                <w:rFonts w:ascii="Arial" w:hAnsi="Arial" w:cs="Arial"/>
              </w:rPr>
              <w:t>8</w:t>
            </w:r>
          </w:p>
        </w:tc>
        <w:tc>
          <w:tcPr>
            <w:tcW w:w="0" w:type="auto"/>
            <w:hideMark/>
          </w:tcPr>
          <w:p w14:paraId="056F6516" w14:textId="77777777" w:rsidR="00C71531" w:rsidRPr="00C71531" w:rsidRDefault="00C71531" w:rsidP="00A75688">
            <w:pPr>
              <w:spacing w:after="160"/>
              <w:rPr>
                <w:rFonts w:ascii="Arial" w:hAnsi="Arial" w:cs="Arial"/>
              </w:rPr>
            </w:pPr>
            <w:r w:rsidRPr="00C71531">
              <w:rPr>
                <w:rFonts w:ascii="Arial" w:hAnsi="Arial" w:cs="Arial"/>
              </w:rPr>
              <w:t>305.399231</w:t>
            </w:r>
          </w:p>
        </w:tc>
        <w:tc>
          <w:tcPr>
            <w:tcW w:w="0" w:type="auto"/>
            <w:hideMark/>
          </w:tcPr>
          <w:p w14:paraId="1D859EF0" w14:textId="77777777" w:rsidR="00C71531" w:rsidRPr="00C71531" w:rsidRDefault="00C71531" w:rsidP="00A75688">
            <w:pPr>
              <w:spacing w:after="160"/>
              <w:rPr>
                <w:rFonts w:ascii="Arial" w:hAnsi="Arial" w:cs="Arial"/>
              </w:rPr>
            </w:pPr>
            <w:r w:rsidRPr="00C71531">
              <w:rPr>
                <w:rFonts w:ascii="Arial" w:hAnsi="Arial" w:cs="Arial"/>
              </w:rPr>
              <w:t>194.715424</w:t>
            </w:r>
          </w:p>
        </w:tc>
        <w:tc>
          <w:tcPr>
            <w:tcW w:w="0" w:type="auto"/>
            <w:hideMark/>
          </w:tcPr>
          <w:p w14:paraId="2A2F1B88" w14:textId="77777777" w:rsidR="00C71531" w:rsidRPr="00C71531" w:rsidRDefault="00C71531" w:rsidP="00A75688">
            <w:pPr>
              <w:spacing w:after="160"/>
              <w:rPr>
                <w:rFonts w:ascii="Arial" w:hAnsi="Arial" w:cs="Arial"/>
              </w:rPr>
            </w:pPr>
            <w:r w:rsidRPr="00C71531">
              <w:rPr>
                <w:rFonts w:ascii="Arial" w:hAnsi="Arial" w:cs="Arial"/>
              </w:rPr>
              <w:t>0.040700</w:t>
            </w:r>
          </w:p>
        </w:tc>
        <w:tc>
          <w:tcPr>
            <w:tcW w:w="0" w:type="auto"/>
            <w:hideMark/>
          </w:tcPr>
          <w:p w14:paraId="6C3FE8AD" w14:textId="77777777" w:rsidR="00C71531" w:rsidRPr="00C71531" w:rsidRDefault="00C71531" w:rsidP="00A75688">
            <w:pPr>
              <w:spacing w:after="160"/>
              <w:rPr>
                <w:rFonts w:ascii="Arial" w:hAnsi="Arial" w:cs="Arial"/>
              </w:rPr>
            </w:pPr>
            <w:r w:rsidRPr="00C71531">
              <w:rPr>
                <w:rFonts w:ascii="Arial" w:hAnsi="Arial" w:cs="Arial"/>
              </w:rPr>
              <w:t>0.928577</w:t>
            </w:r>
          </w:p>
        </w:tc>
      </w:tr>
      <w:tr w:rsidR="00EC558C" w:rsidRPr="00A75688" w14:paraId="7F43BDAC" w14:textId="77777777" w:rsidTr="00EC558C">
        <w:trPr>
          <w:jc w:val="center"/>
        </w:trPr>
        <w:tc>
          <w:tcPr>
            <w:tcW w:w="0" w:type="auto"/>
            <w:hideMark/>
          </w:tcPr>
          <w:p w14:paraId="0074CC53" w14:textId="77777777" w:rsidR="00C71531" w:rsidRPr="00C71531" w:rsidRDefault="00C71531" w:rsidP="00A75688">
            <w:pPr>
              <w:spacing w:after="160"/>
              <w:rPr>
                <w:rFonts w:ascii="Arial" w:hAnsi="Arial" w:cs="Arial"/>
              </w:rPr>
            </w:pPr>
            <w:r w:rsidRPr="00C71531">
              <w:rPr>
                <w:rFonts w:ascii="Arial" w:hAnsi="Arial" w:cs="Arial"/>
              </w:rPr>
              <w:t>9</w:t>
            </w:r>
          </w:p>
        </w:tc>
        <w:tc>
          <w:tcPr>
            <w:tcW w:w="0" w:type="auto"/>
            <w:hideMark/>
          </w:tcPr>
          <w:p w14:paraId="1BCF4C12" w14:textId="77777777" w:rsidR="00C71531" w:rsidRPr="00C71531" w:rsidRDefault="00C71531" w:rsidP="00A75688">
            <w:pPr>
              <w:spacing w:after="160"/>
              <w:rPr>
                <w:rFonts w:ascii="Arial" w:hAnsi="Arial" w:cs="Arial"/>
              </w:rPr>
            </w:pPr>
            <w:r w:rsidRPr="00C71531">
              <w:rPr>
                <w:rFonts w:ascii="Arial" w:hAnsi="Arial" w:cs="Arial"/>
              </w:rPr>
              <w:t>287.390564</w:t>
            </w:r>
          </w:p>
        </w:tc>
        <w:tc>
          <w:tcPr>
            <w:tcW w:w="0" w:type="auto"/>
            <w:hideMark/>
          </w:tcPr>
          <w:p w14:paraId="7AA5FFB1" w14:textId="77777777" w:rsidR="00C71531" w:rsidRPr="00C71531" w:rsidRDefault="00C71531" w:rsidP="00A75688">
            <w:pPr>
              <w:spacing w:after="160"/>
              <w:rPr>
                <w:rFonts w:ascii="Arial" w:hAnsi="Arial" w:cs="Arial"/>
              </w:rPr>
            </w:pPr>
            <w:r w:rsidRPr="00C71531">
              <w:rPr>
                <w:rFonts w:ascii="Arial" w:hAnsi="Arial" w:cs="Arial"/>
              </w:rPr>
              <w:t>172.428680</w:t>
            </w:r>
          </w:p>
        </w:tc>
        <w:tc>
          <w:tcPr>
            <w:tcW w:w="0" w:type="auto"/>
            <w:hideMark/>
          </w:tcPr>
          <w:p w14:paraId="4D4F14A3" w14:textId="77777777" w:rsidR="00C71531" w:rsidRPr="00C71531" w:rsidRDefault="00C71531" w:rsidP="00A75688">
            <w:pPr>
              <w:spacing w:after="160"/>
              <w:rPr>
                <w:rFonts w:ascii="Arial" w:hAnsi="Arial" w:cs="Arial"/>
              </w:rPr>
            </w:pPr>
            <w:r w:rsidRPr="00C71531">
              <w:rPr>
                <w:rFonts w:ascii="Arial" w:hAnsi="Arial" w:cs="Arial"/>
              </w:rPr>
              <w:t>0.036041</w:t>
            </w:r>
          </w:p>
        </w:tc>
        <w:tc>
          <w:tcPr>
            <w:tcW w:w="0" w:type="auto"/>
            <w:hideMark/>
          </w:tcPr>
          <w:p w14:paraId="6DD77F83" w14:textId="77777777" w:rsidR="00C71531" w:rsidRPr="00C71531" w:rsidRDefault="00C71531" w:rsidP="00A75688">
            <w:pPr>
              <w:spacing w:after="160"/>
              <w:rPr>
                <w:rFonts w:ascii="Arial" w:hAnsi="Arial" w:cs="Arial"/>
              </w:rPr>
            </w:pPr>
            <w:r w:rsidRPr="00C71531">
              <w:rPr>
                <w:rFonts w:ascii="Arial" w:hAnsi="Arial" w:cs="Arial"/>
              </w:rPr>
              <w:t>0.964619</w:t>
            </w:r>
          </w:p>
        </w:tc>
      </w:tr>
      <w:tr w:rsidR="00C71531" w:rsidRPr="00C71531" w14:paraId="04BAB8C5" w14:textId="77777777" w:rsidTr="00EC558C">
        <w:trPr>
          <w:jc w:val="center"/>
        </w:trPr>
        <w:tc>
          <w:tcPr>
            <w:tcW w:w="0" w:type="auto"/>
            <w:hideMark/>
          </w:tcPr>
          <w:p w14:paraId="64D05DB4" w14:textId="77777777" w:rsidR="00C71531" w:rsidRPr="00C71531" w:rsidRDefault="00C71531" w:rsidP="00A75688">
            <w:pPr>
              <w:spacing w:after="160"/>
              <w:rPr>
                <w:rFonts w:ascii="Arial" w:hAnsi="Arial" w:cs="Arial"/>
              </w:rPr>
            </w:pPr>
            <w:r w:rsidRPr="00C71531">
              <w:rPr>
                <w:rFonts w:ascii="Arial" w:hAnsi="Arial" w:cs="Arial"/>
              </w:rPr>
              <w:t>10</w:t>
            </w:r>
          </w:p>
        </w:tc>
        <w:tc>
          <w:tcPr>
            <w:tcW w:w="0" w:type="auto"/>
            <w:hideMark/>
          </w:tcPr>
          <w:p w14:paraId="28A7A3B9" w14:textId="77777777" w:rsidR="00C71531" w:rsidRPr="00C71531" w:rsidRDefault="00C71531" w:rsidP="00A75688">
            <w:pPr>
              <w:spacing w:after="160"/>
              <w:rPr>
                <w:rFonts w:ascii="Arial" w:hAnsi="Arial" w:cs="Arial"/>
              </w:rPr>
            </w:pPr>
            <w:r w:rsidRPr="00C71531">
              <w:rPr>
                <w:rFonts w:ascii="Arial" w:hAnsi="Arial" w:cs="Arial"/>
              </w:rPr>
              <w:t>284.747131</w:t>
            </w:r>
          </w:p>
        </w:tc>
        <w:tc>
          <w:tcPr>
            <w:tcW w:w="0" w:type="auto"/>
            <w:hideMark/>
          </w:tcPr>
          <w:p w14:paraId="4240C82C" w14:textId="77777777" w:rsidR="00C71531" w:rsidRPr="00C71531" w:rsidRDefault="00C71531" w:rsidP="00A75688">
            <w:pPr>
              <w:spacing w:after="160"/>
              <w:rPr>
                <w:rFonts w:ascii="Arial" w:hAnsi="Arial" w:cs="Arial"/>
              </w:rPr>
            </w:pPr>
            <w:r w:rsidRPr="00C71531">
              <w:rPr>
                <w:rFonts w:ascii="Arial" w:hAnsi="Arial" w:cs="Arial"/>
              </w:rPr>
              <w:t>169.271255</w:t>
            </w:r>
          </w:p>
        </w:tc>
        <w:tc>
          <w:tcPr>
            <w:tcW w:w="0" w:type="auto"/>
            <w:hideMark/>
          </w:tcPr>
          <w:p w14:paraId="4A4C2344" w14:textId="77777777" w:rsidR="00C71531" w:rsidRPr="00C71531" w:rsidRDefault="00C71531" w:rsidP="00A75688">
            <w:pPr>
              <w:spacing w:after="160"/>
              <w:rPr>
                <w:rFonts w:ascii="Arial" w:hAnsi="Arial" w:cs="Arial"/>
              </w:rPr>
            </w:pPr>
            <w:r w:rsidRPr="00C71531">
              <w:rPr>
                <w:rFonts w:ascii="Arial" w:hAnsi="Arial" w:cs="Arial"/>
              </w:rPr>
              <w:t>0.035381</w:t>
            </w:r>
          </w:p>
        </w:tc>
        <w:tc>
          <w:tcPr>
            <w:tcW w:w="0" w:type="auto"/>
            <w:hideMark/>
          </w:tcPr>
          <w:p w14:paraId="65F1B507" w14:textId="77777777" w:rsidR="00C71531" w:rsidRPr="00C71531" w:rsidRDefault="00C71531" w:rsidP="00A75688">
            <w:pPr>
              <w:keepNext/>
              <w:spacing w:after="160"/>
              <w:rPr>
                <w:rFonts w:ascii="Arial" w:hAnsi="Arial" w:cs="Arial"/>
              </w:rPr>
            </w:pPr>
            <w:r w:rsidRPr="00C71531">
              <w:rPr>
                <w:rFonts w:ascii="Arial" w:hAnsi="Arial" w:cs="Arial"/>
              </w:rPr>
              <w:t>1.000000</w:t>
            </w:r>
          </w:p>
        </w:tc>
      </w:tr>
    </w:tbl>
    <w:p w14:paraId="2602C450" w14:textId="33A0D986" w:rsidR="003253B5" w:rsidRPr="00A75688" w:rsidRDefault="003253B5" w:rsidP="00A75688">
      <w:pPr>
        <w:pStyle w:val="Caption"/>
        <w:rPr>
          <w:rFonts w:ascii="Arial" w:hAnsi="Arial" w:cs="Arial"/>
          <w:b/>
          <w:bCs/>
          <w:sz w:val="24"/>
          <w:szCs w:val="24"/>
        </w:rPr>
      </w:pPr>
      <w:r w:rsidRPr="00A75688">
        <w:rPr>
          <w:sz w:val="24"/>
          <w:szCs w:val="24"/>
        </w:rPr>
        <w:t xml:space="preserve">Table </w:t>
      </w:r>
      <w:r w:rsidRPr="00A75688">
        <w:rPr>
          <w:sz w:val="24"/>
          <w:szCs w:val="24"/>
        </w:rPr>
        <w:fldChar w:fldCharType="begin"/>
      </w:r>
      <w:r w:rsidRPr="00A75688">
        <w:rPr>
          <w:sz w:val="24"/>
          <w:szCs w:val="24"/>
        </w:rPr>
        <w:instrText xml:space="preserve"> SEQ Table \* ARABIC </w:instrText>
      </w:r>
      <w:r w:rsidRPr="00A75688">
        <w:rPr>
          <w:sz w:val="24"/>
          <w:szCs w:val="24"/>
        </w:rPr>
        <w:fldChar w:fldCharType="separate"/>
      </w:r>
      <w:r w:rsidR="00A75688" w:rsidRPr="00A75688">
        <w:rPr>
          <w:noProof/>
          <w:sz w:val="24"/>
          <w:szCs w:val="24"/>
        </w:rPr>
        <w:t>1</w:t>
      </w:r>
      <w:r w:rsidRPr="00A75688">
        <w:rPr>
          <w:sz w:val="24"/>
          <w:szCs w:val="24"/>
        </w:rPr>
        <w:fldChar w:fldCharType="end"/>
      </w:r>
      <w:r w:rsidRPr="00A75688">
        <w:rPr>
          <w:sz w:val="24"/>
          <w:szCs w:val="24"/>
        </w:rPr>
        <w:t xml:space="preserve">. </w:t>
      </w:r>
      <w:r w:rsidRPr="00A75688">
        <w:rPr>
          <w:sz w:val="24"/>
          <w:szCs w:val="24"/>
        </w:rPr>
        <w:t>Singular values, eigenvalues, and corresponding explained variance for the first 10 principal components of the global SST anomaly field (1980–2019).</w:t>
      </w:r>
    </w:p>
    <w:p w14:paraId="20125654" w14:textId="332BE965" w:rsidR="003253B5" w:rsidRPr="00A75688" w:rsidRDefault="003253B5" w:rsidP="00A75688">
      <w:pPr>
        <w:spacing w:after="160"/>
        <w:rPr>
          <w:rFonts w:ascii="Arial" w:hAnsi="Arial" w:cs="Arial"/>
        </w:rPr>
      </w:pPr>
      <w:r w:rsidRPr="00A75688">
        <w:rPr>
          <w:rFonts w:ascii="Arial" w:hAnsi="Arial" w:cs="Arial"/>
          <w:b/>
          <w:bCs/>
        </w:rPr>
        <w:t xml:space="preserve">Table </w:t>
      </w:r>
      <w:r w:rsidRPr="00A75688">
        <w:rPr>
          <w:rFonts w:ascii="Arial" w:hAnsi="Arial" w:cs="Arial"/>
          <w:b/>
          <w:bCs/>
        </w:rPr>
        <w:t>1</w:t>
      </w:r>
      <w:r w:rsidRPr="00A75688">
        <w:rPr>
          <w:rFonts w:ascii="Arial" w:hAnsi="Arial" w:cs="Arial"/>
        </w:rPr>
        <w:t xml:space="preserve"> </w:t>
      </w:r>
      <w:r w:rsidRPr="00A75688">
        <w:rPr>
          <w:rFonts w:ascii="Arial" w:hAnsi="Arial" w:cs="Arial"/>
        </w:rPr>
        <w:t xml:space="preserve">lists the first 10 principal components (PCs) in descending order of their explained variance. Each row shows the singular value and corresponding eigenvalue from the covariance matrix, followed by the percentage of total variance that each PC individually explains and its cumulative contribution up to that PC. The first principal component (PC1) has the largest eigenvalue, explaining about 30.7% of the total variance, while adding the second principal component (PC2) brings the cumulative variance to roughly 57.3%. By the time PC3 is included, nearly 68% of the total variance is accounted for, indicating that these three modes together describe the bulk of the dataset’s spatiotemporal variability. The remaining PCs each explain progressively smaller amounts of variance, with the tenth PC bringing the cumulative variance to 100%. In practice, the rapid decline in explained variance after the first few modes suggests that the leading </w:t>
      </w:r>
      <w:r w:rsidRPr="00A75688">
        <w:rPr>
          <w:rFonts w:ascii="Arial" w:hAnsi="Arial" w:cs="Arial"/>
        </w:rPr>
        <w:t xml:space="preserve">three </w:t>
      </w:r>
      <w:r w:rsidRPr="00A75688">
        <w:rPr>
          <w:rFonts w:ascii="Arial" w:hAnsi="Arial" w:cs="Arial"/>
        </w:rPr>
        <w:t>PCs capture the dominant large</w:t>
      </w:r>
      <w:r w:rsidRPr="00A75688">
        <w:rPr>
          <w:rFonts w:ascii="Cambria Math" w:hAnsi="Cambria Math" w:cs="Cambria Math"/>
        </w:rPr>
        <w:t>‐</w:t>
      </w:r>
      <w:r w:rsidRPr="00A75688">
        <w:rPr>
          <w:rFonts w:ascii="Arial" w:hAnsi="Arial" w:cs="Arial"/>
        </w:rPr>
        <w:t>scale patterns, while higher</w:t>
      </w:r>
      <w:r w:rsidRPr="00A75688">
        <w:rPr>
          <w:rFonts w:ascii="Cambria Math" w:hAnsi="Cambria Math" w:cs="Cambria Math"/>
        </w:rPr>
        <w:t>‐</w:t>
      </w:r>
      <w:r w:rsidRPr="00A75688">
        <w:rPr>
          <w:rFonts w:ascii="Arial" w:hAnsi="Arial" w:cs="Arial"/>
        </w:rPr>
        <w:t>order modes may represent more localized or complex structures.</w:t>
      </w:r>
    </w:p>
    <w:p w14:paraId="0A4F0E46" w14:textId="0316E315" w:rsidR="00C71531" w:rsidRPr="00C71531" w:rsidRDefault="00C71531" w:rsidP="00A75688">
      <w:pPr>
        <w:spacing w:after="160"/>
        <w:rPr>
          <w:rFonts w:ascii="Arial" w:hAnsi="Arial" w:cs="Arial"/>
          <w:b/>
          <w:bCs/>
        </w:rPr>
      </w:pPr>
      <w:r w:rsidRPr="00C71531">
        <w:rPr>
          <w:rFonts w:ascii="Arial" w:hAnsi="Arial" w:cs="Arial"/>
          <w:b/>
          <w:bCs/>
        </w:rPr>
        <w:t>3.</w:t>
      </w:r>
      <w:r w:rsidR="003253B5" w:rsidRPr="00A75688">
        <w:rPr>
          <w:rFonts w:ascii="Arial" w:hAnsi="Arial" w:cs="Arial"/>
          <w:b/>
          <w:bCs/>
        </w:rPr>
        <w:t>4</w:t>
      </w:r>
      <w:r w:rsidRPr="00C71531">
        <w:rPr>
          <w:rFonts w:ascii="Arial" w:hAnsi="Arial" w:cs="Arial"/>
          <w:b/>
          <w:bCs/>
        </w:rPr>
        <w:t xml:space="preserve"> Principal Component (PC) Time Series</w:t>
      </w:r>
    </w:p>
    <w:p w14:paraId="4E795112" w14:textId="77777777" w:rsidR="003253B5" w:rsidRPr="00A75688" w:rsidRDefault="003253B5" w:rsidP="00A75688">
      <w:pPr>
        <w:keepNext/>
        <w:spacing w:after="160"/>
      </w:pPr>
      <w:r w:rsidRPr="00A75688">
        <w:rPr>
          <w:rFonts w:ascii="Arial" w:eastAsiaTheme="majorEastAsia" w:hAnsi="Arial" w:cs="Arial"/>
          <w:b/>
          <w:bCs/>
        </w:rPr>
        <w:lastRenderedPageBreak/>
        <w:drawing>
          <wp:inline distT="0" distB="0" distL="0" distR="0" wp14:anchorId="4849AB9E" wp14:editId="70686DB6">
            <wp:extent cx="5943600" cy="3194050"/>
            <wp:effectExtent l="0" t="0" r="0" b="6350"/>
            <wp:docPr id="1282566381" name="Picture 1"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66381" name="Picture 1" descr="A graph showing a line graph&#10;&#10;AI-generated content may be incorrect."/>
                    <pic:cNvPicPr/>
                  </pic:nvPicPr>
                  <pic:blipFill>
                    <a:blip r:embed="rId16"/>
                    <a:stretch>
                      <a:fillRect/>
                    </a:stretch>
                  </pic:blipFill>
                  <pic:spPr>
                    <a:xfrm>
                      <a:off x="0" y="0"/>
                      <a:ext cx="5943600" cy="3194050"/>
                    </a:xfrm>
                    <a:prstGeom prst="rect">
                      <a:avLst/>
                    </a:prstGeom>
                  </pic:spPr>
                </pic:pic>
              </a:graphicData>
            </a:graphic>
          </wp:inline>
        </w:drawing>
      </w:r>
    </w:p>
    <w:p w14:paraId="1F27F57C" w14:textId="4563B807" w:rsidR="003253B5" w:rsidRPr="00A75688" w:rsidRDefault="003253B5" w:rsidP="00A75688">
      <w:pPr>
        <w:pStyle w:val="Caption"/>
        <w:rPr>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00A75688" w:rsidRPr="00A75688">
        <w:rPr>
          <w:noProof/>
          <w:sz w:val="24"/>
          <w:szCs w:val="24"/>
        </w:rPr>
        <w:t>8</w:t>
      </w:r>
      <w:r w:rsidRPr="00A75688">
        <w:rPr>
          <w:sz w:val="24"/>
          <w:szCs w:val="24"/>
        </w:rPr>
        <w:fldChar w:fldCharType="end"/>
      </w:r>
      <w:r w:rsidRPr="00A75688">
        <w:rPr>
          <w:sz w:val="24"/>
          <w:szCs w:val="24"/>
        </w:rPr>
        <w:t>. Time series of the first three principal components (PC1 in blue, PC2 in red, PC3 in green). These standardized PCs illustrate the temporal evolution of each EOF mode over the period 1980–2019.</w:t>
      </w:r>
    </w:p>
    <w:p w14:paraId="15E34975" w14:textId="76CF7624" w:rsidR="003253B5" w:rsidRPr="00A75688" w:rsidRDefault="00C71531" w:rsidP="00A75688">
      <w:pPr>
        <w:spacing w:after="160"/>
        <w:rPr>
          <w:rFonts w:ascii="Arial" w:hAnsi="Arial" w:cs="Arial"/>
        </w:rPr>
      </w:pPr>
      <w:r w:rsidRPr="00C71531">
        <w:rPr>
          <w:rFonts w:ascii="Arial" w:eastAsiaTheme="majorEastAsia" w:hAnsi="Arial" w:cs="Arial"/>
          <w:b/>
          <w:bCs/>
        </w:rPr>
        <w:t xml:space="preserve">Figure </w:t>
      </w:r>
      <w:r w:rsidR="003253B5" w:rsidRPr="00A75688">
        <w:rPr>
          <w:rFonts w:ascii="Arial" w:eastAsiaTheme="majorEastAsia" w:hAnsi="Arial" w:cs="Arial"/>
          <w:b/>
          <w:bCs/>
        </w:rPr>
        <w:t>8</w:t>
      </w:r>
      <w:r w:rsidRPr="00C71531">
        <w:rPr>
          <w:rFonts w:ascii="Arial" w:hAnsi="Arial" w:cs="Arial"/>
        </w:rPr>
        <w:t xml:space="preserve"> shows the time series of the first three principal components</w:t>
      </w:r>
      <w:r w:rsidR="003253B5" w:rsidRPr="00A75688">
        <w:rPr>
          <w:rFonts w:ascii="Arial" w:hAnsi="Arial" w:cs="Arial"/>
        </w:rPr>
        <w:t>. T</w:t>
      </w:r>
      <w:r w:rsidR="003253B5" w:rsidRPr="00A75688">
        <w:rPr>
          <w:rFonts w:ascii="Arial" w:hAnsi="Arial" w:cs="Arial"/>
        </w:rPr>
        <w:t xml:space="preserve">he red line (PC2) often shows large peaks and troughs linked to </w:t>
      </w:r>
      <w:r w:rsidR="00D427C7">
        <w:rPr>
          <w:rFonts w:ascii="Arial" w:hAnsi="Arial" w:cs="Arial"/>
        </w:rPr>
        <w:t xml:space="preserve">the </w:t>
      </w:r>
      <w:r w:rsidR="003253B5" w:rsidRPr="00A75688">
        <w:rPr>
          <w:rFonts w:ascii="Arial" w:hAnsi="Arial" w:cs="Arial"/>
        </w:rPr>
        <w:t>known El Niño and La Niña episodes, while the blue line (PC1) and green line (PC3) display different, partly decadal or regional fluctuations. Notably, PC2’s high amplitude around 1982–83, 1997–98, and 2015–16 coincides with major El Niño events</w:t>
      </w:r>
      <w:r w:rsidR="007476FF" w:rsidRPr="007476FF">
        <w:t xml:space="preserve"> </w:t>
      </w:r>
      <w:r w:rsidR="007476FF" w:rsidRPr="007476FF">
        <w:rPr>
          <w:rFonts w:ascii="Arial" w:hAnsi="Arial" w:cs="Arial"/>
        </w:rPr>
        <w:t>(Golden Gate Weather Services, n.d.)</w:t>
      </w:r>
      <w:r w:rsidR="003253B5" w:rsidRPr="00A75688">
        <w:rPr>
          <w:rFonts w:ascii="Arial" w:hAnsi="Arial" w:cs="Arial"/>
        </w:rPr>
        <w:t>. By contrast, PC1 (blue) tends to vary on longer timescales, with more pronounced negative values in the early record and generally positive values after 2005, while PC3 (green) has evident swings around the mid</w:t>
      </w:r>
      <w:r w:rsidR="003253B5" w:rsidRPr="00A75688">
        <w:rPr>
          <w:rFonts w:ascii="Cambria Math" w:hAnsi="Cambria Math" w:cs="Cambria Math"/>
        </w:rPr>
        <w:t>‐</w:t>
      </w:r>
      <w:r w:rsidR="003253B5" w:rsidRPr="00A75688">
        <w:rPr>
          <w:rFonts w:ascii="Arial" w:hAnsi="Arial" w:cs="Arial"/>
        </w:rPr>
        <w:t>1990s and in the mid</w:t>
      </w:r>
      <w:r w:rsidR="003253B5" w:rsidRPr="00A75688">
        <w:rPr>
          <w:rFonts w:ascii="Cambria Math" w:hAnsi="Cambria Math" w:cs="Cambria Math"/>
        </w:rPr>
        <w:t>‐</w:t>
      </w:r>
      <w:r w:rsidR="003253B5" w:rsidRPr="00A75688">
        <w:rPr>
          <w:rFonts w:ascii="Arial" w:hAnsi="Arial" w:cs="Arial"/>
        </w:rPr>
        <w:t>2010s, suggesting a secondary or regional mode of variability.</w:t>
      </w:r>
    </w:p>
    <w:p w14:paraId="62C524A6" w14:textId="609A27FC" w:rsidR="00C71531" w:rsidRPr="00C71531" w:rsidRDefault="00C71531" w:rsidP="00A75688">
      <w:pPr>
        <w:spacing w:after="160"/>
        <w:rPr>
          <w:rFonts w:ascii="Arial" w:hAnsi="Arial" w:cs="Arial"/>
          <w:b/>
          <w:bCs/>
        </w:rPr>
      </w:pPr>
      <w:r w:rsidRPr="00C71531">
        <w:rPr>
          <w:rFonts w:ascii="Arial" w:hAnsi="Arial" w:cs="Arial"/>
          <w:b/>
          <w:bCs/>
        </w:rPr>
        <w:t>3.</w:t>
      </w:r>
      <w:r w:rsidR="003253B5" w:rsidRPr="00A75688">
        <w:rPr>
          <w:rFonts w:ascii="Arial" w:hAnsi="Arial" w:cs="Arial"/>
          <w:b/>
          <w:bCs/>
        </w:rPr>
        <w:t>5</w:t>
      </w:r>
      <w:r w:rsidRPr="00C71531">
        <w:rPr>
          <w:rFonts w:ascii="Arial" w:hAnsi="Arial" w:cs="Arial"/>
          <w:b/>
          <w:bCs/>
        </w:rPr>
        <w:t xml:space="preserve"> Correlation with Niño Index</w:t>
      </w:r>
    </w:p>
    <w:p w14:paraId="5C50BC86" w14:textId="77777777" w:rsidR="00A75688" w:rsidRPr="00A75688" w:rsidRDefault="003253B5" w:rsidP="00A75688">
      <w:pPr>
        <w:keepNext/>
        <w:spacing w:after="160"/>
      </w:pPr>
      <w:r w:rsidRPr="00A75688">
        <w:rPr>
          <w:rFonts w:ascii="Arial" w:eastAsiaTheme="majorEastAsia" w:hAnsi="Arial" w:cs="Arial"/>
          <w:b/>
          <w:bCs/>
        </w:rPr>
        <w:lastRenderedPageBreak/>
        <w:drawing>
          <wp:inline distT="0" distB="0" distL="0" distR="0" wp14:anchorId="61CF39F8" wp14:editId="00A6339E">
            <wp:extent cx="5943600" cy="3251835"/>
            <wp:effectExtent l="0" t="0" r="0" b="0"/>
            <wp:docPr id="457829691" name="Picture 1" descr="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29691" name="Picture 1" descr="A graph showing different colored lines&#10;&#10;AI-generated content may be incorrect."/>
                    <pic:cNvPicPr/>
                  </pic:nvPicPr>
                  <pic:blipFill>
                    <a:blip r:embed="rId17"/>
                    <a:stretch>
                      <a:fillRect/>
                    </a:stretch>
                  </pic:blipFill>
                  <pic:spPr>
                    <a:xfrm>
                      <a:off x="0" y="0"/>
                      <a:ext cx="5943600" cy="3251835"/>
                    </a:xfrm>
                    <a:prstGeom prst="rect">
                      <a:avLst/>
                    </a:prstGeom>
                  </pic:spPr>
                </pic:pic>
              </a:graphicData>
            </a:graphic>
          </wp:inline>
        </w:drawing>
      </w:r>
    </w:p>
    <w:p w14:paraId="205D466F" w14:textId="7102226B" w:rsidR="00A75688" w:rsidRPr="00A75688" w:rsidRDefault="00A75688" w:rsidP="00A75688">
      <w:pPr>
        <w:pStyle w:val="Caption"/>
        <w:rPr>
          <w:sz w:val="24"/>
          <w:szCs w:val="24"/>
        </w:rPr>
      </w:pPr>
      <w:r w:rsidRPr="00A75688">
        <w:rPr>
          <w:sz w:val="24"/>
          <w:szCs w:val="24"/>
        </w:rPr>
        <w:t xml:space="preserve">Figure </w:t>
      </w:r>
      <w:r w:rsidRPr="00A75688">
        <w:rPr>
          <w:sz w:val="24"/>
          <w:szCs w:val="24"/>
        </w:rPr>
        <w:fldChar w:fldCharType="begin"/>
      </w:r>
      <w:r w:rsidRPr="00A75688">
        <w:rPr>
          <w:sz w:val="24"/>
          <w:szCs w:val="24"/>
        </w:rPr>
        <w:instrText xml:space="preserve"> SEQ Figure \* ARABIC </w:instrText>
      </w:r>
      <w:r w:rsidRPr="00A75688">
        <w:rPr>
          <w:sz w:val="24"/>
          <w:szCs w:val="24"/>
        </w:rPr>
        <w:fldChar w:fldCharType="separate"/>
      </w:r>
      <w:r w:rsidRPr="00A75688">
        <w:rPr>
          <w:noProof/>
          <w:sz w:val="24"/>
          <w:szCs w:val="24"/>
        </w:rPr>
        <w:t>9</w:t>
      </w:r>
      <w:r w:rsidRPr="00A75688">
        <w:rPr>
          <w:sz w:val="24"/>
          <w:szCs w:val="24"/>
        </w:rPr>
        <w:fldChar w:fldCharType="end"/>
      </w:r>
      <w:r w:rsidRPr="00A75688">
        <w:rPr>
          <w:sz w:val="24"/>
          <w:szCs w:val="24"/>
        </w:rPr>
        <w:t xml:space="preserve">. </w:t>
      </w:r>
      <w:r w:rsidRPr="00A75688">
        <w:rPr>
          <w:sz w:val="24"/>
          <w:szCs w:val="24"/>
        </w:rPr>
        <w:t>Comparison of the Niño 3.4 index (black) with the first three standardized principal components (PC1 in blue, PC2 in red, and PC3 in green) over the period 1980–2020. The high correspondence between PC2 and the Niño index highlights this mode’s strong ENSO signal.</w:t>
      </w:r>
    </w:p>
    <w:p w14:paraId="401BDC9B" w14:textId="0BF78302" w:rsidR="00C71531" w:rsidRPr="00C71531" w:rsidRDefault="00C71531" w:rsidP="00A75688">
      <w:pPr>
        <w:spacing w:after="160"/>
        <w:rPr>
          <w:rFonts w:ascii="Arial" w:hAnsi="Arial" w:cs="Arial"/>
        </w:rPr>
      </w:pPr>
      <w:r w:rsidRPr="00C71531">
        <w:rPr>
          <w:rFonts w:ascii="Arial" w:eastAsiaTheme="majorEastAsia" w:hAnsi="Arial" w:cs="Arial"/>
          <w:b/>
          <w:bCs/>
        </w:rPr>
        <w:t xml:space="preserve">Figure </w:t>
      </w:r>
      <w:r w:rsidR="00A75688" w:rsidRPr="00A75688">
        <w:rPr>
          <w:rFonts w:ascii="Arial" w:eastAsiaTheme="majorEastAsia" w:hAnsi="Arial" w:cs="Arial"/>
          <w:b/>
          <w:bCs/>
        </w:rPr>
        <w:t>9</w:t>
      </w:r>
      <w:r w:rsidRPr="00C71531">
        <w:rPr>
          <w:rFonts w:ascii="Arial" w:hAnsi="Arial" w:cs="Arial"/>
        </w:rPr>
        <w:t xml:space="preserve"> compares the standardized PCs to the Niño Index (ONI), </w:t>
      </w:r>
      <w:r w:rsidR="00A75688" w:rsidRPr="00A75688">
        <w:rPr>
          <w:rFonts w:ascii="Arial" w:hAnsi="Arial" w:cs="Arial"/>
        </w:rPr>
        <w:t xml:space="preserve">it </w:t>
      </w:r>
      <w:r w:rsidR="00A75688" w:rsidRPr="00A75688">
        <w:rPr>
          <w:rFonts w:ascii="Arial" w:hAnsi="Arial" w:cs="Arial"/>
        </w:rPr>
        <w:t>shows that PC2 (red) closely follows the temporal variations in the Niño 3.4 Index (black), indicating that the second mode of SST variability is strongly linked to ENSO, whereas PC1 (blue) and PC3 (green) exhibit weaker associations with the index.</w:t>
      </w:r>
    </w:p>
    <w:tbl>
      <w:tblPr>
        <w:tblStyle w:val="TableGrid"/>
        <w:tblW w:w="0" w:type="auto"/>
        <w:jc w:val="center"/>
        <w:tblLook w:val="04A0" w:firstRow="1" w:lastRow="0" w:firstColumn="1" w:lastColumn="0" w:noHBand="0" w:noVBand="1"/>
      </w:tblPr>
      <w:tblGrid>
        <w:gridCol w:w="683"/>
        <w:gridCol w:w="3337"/>
      </w:tblGrid>
      <w:tr w:rsidR="00C71531" w:rsidRPr="00C71531" w14:paraId="70CCA174" w14:textId="77777777" w:rsidTr="00EC558C">
        <w:trPr>
          <w:jc w:val="center"/>
        </w:trPr>
        <w:tc>
          <w:tcPr>
            <w:tcW w:w="0" w:type="auto"/>
            <w:hideMark/>
          </w:tcPr>
          <w:p w14:paraId="07EAFA28" w14:textId="77777777" w:rsidR="00C71531" w:rsidRPr="00C71531" w:rsidRDefault="00C71531" w:rsidP="00A75688">
            <w:pPr>
              <w:spacing w:after="160"/>
              <w:rPr>
                <w:rFonts w:ascii="Arial" w:hAnsi="Arial" w:cs="Arial"/>
                <w:b/>
                <w:bCs/>
              </w:rPr>
            </w:pPr>
            <w:r w:rsidRPr="00C71531">
              <w:rPr>
                <w:rFonts w:ascii="Arial" w:hAnsi="Arial" w:cs="Arial"/>
                <w:b/>
                <w:bCs/>
              </w:rPr>
              <w:t>PC</w:t>
            </w:r>
          </w:p>
        </w:tc>
        <w:tc>
          <w:tcPr>
            <w:tcW w:w="0" w:type="auto"/>
            <w:hideMark/>
          </w:tcPr>
          <w:p w14:paraId="5C8B8DD2" w14:textId="77777777" w:rsidR="00C71531" w:rsidRPr="00C71531" w:rsidRDefault="00C71531" w:rsidP="00A75688">
            <w:pPr>
              <w:spacing w:after="160"/>
              <w:rPr>
                <w:rFonts w:ascii="Arial" w:hAnsi="Arial" w:cs="Arial"/>
                <w:b/>
                <w:bCs/>
              </w:rPr>
            </w:pPr>
            <w:r w:rsidRPr="00C71531">
              <w:rPr>
                <w:rFonts w:ascii="Arial" w:hAnsi="Arial" w:cs="Arial"/>
                <w:b/>
                <w:bCs/>
              </w:rPr>
              <w:t>Correlation with Niño Index</w:t>
            </w:r>
          </w:p>
        </w:tc>
      </w:tr>
      <w:tr w:rsidR="00C71531" w:rsidRPr="00C71531" w14:paraId="65E617BE" w14:textId="77777777" w:rsidTr="00EC558C">
        <w:trPr>
          <w:jc w:val="center"/>
        </w:trPr>
        <w:tc>
          <w:tcPr>
            <w:tcW w:w="0" w:type="auto"/>
            <w:hideMark/>
          </w:tcPr>
          <w:p w14:paraId="755ADC1E" w14:textId="77777777" w:rsidR="00C71531" w:rsidRPr="00C71531" w:rsidRDefault="00C71531" w:rsidP="00A75688">
            <w:pPr>
              <w:spacing w:after="160"/>
              <w:rPr>
                <w:rFonts w:ascii="Arial" w:hAnsi="Arial" w:cs="Arial"/>
              </w:rPr>
            </w:pPr>
            <w:r w:rsidRPr="00C71531">
              <w:rPr>
                <w:rFonts w:ascii="Arial" w:hAnsi="Arial" w:cs="Arial"/>
              </w:rPr>
              <w:t>PC1</w:t>
            </w:r>
          </w:p>
        </w:tc>
        <w:tc>
          <w:tcPr>
            <w:tcW w:w="0" w:type="auto"/>
            <w:hideMark/>
          </w:tcPr>
          <w:p w14:paraId="39BB6A34" w14:textId="77777777" w:rsidR="00C71531" w:rsidRPr="00C71531" w:rsidRDefault="00C71531" w:rsidP="00A75688">
            <w:pPr>
              <w:spacing w:after="160"/>
              <w:rPr>
                <w:rFonts w:ascii="Arial" w:hAnsi="Arial" w:cs="Arial"/>
              </w:rPr>
            </w:pPr>
            <w:r w:rsidRPr="00C71531">
              <w:rPr>
                <w:rFonts w:ascii="Arial" w:hAnsi="Arial" w:cs="Arial"/>
              </w:rPr>
              <w:t>-0.161041</w:t>
            </w:r>
          </w:p>
        </w:tc>
      </w:tr>
      <w:tr w:rsidR="00C71531" w:rsidRPr="00C71531" w14:paraId="3E706CB3" w14:textId="77777777" w:rsidTr="00EC558C">
        <w:trPr>
          <w:jc w:val="center"/>
        </w:trPr>
        <w:tc>
          <w:tcPr>
            <w:tcW w:w="0" w:type="auto"/>
            <w:hideMark/>
          </w:tcPr>
          <w:p w14:paraId="4729BF78" w14:textId="77777777" w:rsidR="00C71531" w:rsidRPr="00C71531" w:rsidRDefault="00C71531" w:rsidP="00A75688">
            <w:pPr>
              <w:spacing w:after="160"/>
              <w:rPr>
                <w:rFonts w:ascii="Arial" w:hAnsi="Arial" w:cs="Arial"/>
              </w:rPr>
            </w:pPr>
            <w:r w:rsidRPr="00C71531">
              <w:rPr>
                <w:rFonts w:ascii="Arial" w:hAnsi="Arial" w:cs="Arial"/>
              </w:rPr>
              <w:t>PC2</w:t>
            </w:r>
          </w:p>
        </w:tc>
        <w:tc>
          <w:tcPr>
            <w:tcW w:w="0" w:type="auto"/>
            <w:hideMark/>
          </w:tcPr>
          <w:p w14:paraId="27A34A91" w14:textId="77777777" w:rsidR="00C71531" w:rsidRPr="00C71531" w:rsidRDefault="00C71531" w:rsidP="00A75688">
            <w:pPr>
              <w:spacing w:after="160"/>
              <w:rPr>
                <w:rFonts w:ascii="Arial" w:hAnsi="Arial" w:cs="Arial"/>
              </w:rPr>
            </w:pPr>
            <w:r w:rsidRPr="00C71531">
              <w:rPr>
                <w:rFonts w:ascii="Arial" w:hAnsi="Arial" w:cs="Arial"/>
              </w:rPr>
              <w:t>0.925593</w:t>
            </w:r>
          </w:p>
        </w:tc>
      </w:tr>
      <w:tr w:rsidR="00C71531" w:rsidRPr="00C71531" w14:paraId="19B5A19E" w14:textId="77777777" w:rsidTr="00EC558C">
        <w:trPr>
          <w:jc w:val="center"/>
        </w:trPr>
        <w:tc>
          <w:tcPr>
            <w:tcW w:w="0" w:type="auto"/>
            <w:hideMark/>
          </w:tcPr>
          <w:p w14:paraId="7A06E890" w14:textId="77777777" w:rsidR="00C71531" w:rsidRPr="00C71531" w:rsidRDefault="00C71531" w:rsidP="00A75688">
            <w:pPr>
              <w:spacing w:after="160"/>
              <w:rPr>
                <w:rFonts w:ascii="Arial" w:hAnsi="Arial" w:cs="Arial"/>
              </w:rPr>
            </w:pPr>
            <w:r w:rsidRPr="00C71531">
              <w:rPr>
                <w:rFonts w:ascii="Arial" w:hAnsi="Arial" w:cs="Arial"/>
              </w:rPr>
              <w:t>PC3</w:t>
            </w:r>
          </w:p>
        </w:tc>
        <w:tc>
          <w:tcPr>
            <w:tcW w:w="0" w:type="auto"/>
            <w:hideMark/>
          </w:tcPr>
          <w:p w14:paraId="7614DED6" w14:textId="77777777" w:rsidR="00C71531" w:rsidRPr="00C71531" w:rsidRDefault="00C71531" w:rsidP="00A75688">
            <w:pPr>
              <w:keepNext/>
              <w:spacing w:after="160"/>
              <w:rPr>
                <w:rFonts w:ascii="Arial" w:hAnsi="Arial" w:cs="Arial"/>
              </w:rPr>
            </w:pPr>
            <w:r w:rsidRPr="00C71531">
              <w:rPr>
                <w:rFonts w:ascii="Arial" w:hAnsi="Arial" w:cs="Arial"/>
              </w:rPr>
              <w:t>0.043799</w:t>
            </w:r>
          </w:p>
        </w:tc>
      </w:tr>
    </w:tbl>
    <w:p w14:paraId="174DC702" w14:textId="0D2F071C" w:rsidR="00A75688" w:rsidRPr="00A75688" w:rsidRDefault="00A75688" w:rsidP="00A75688">
      <w:pPr>
        <w:pStyle w:val="Caption"/>
        <w:rPr>
          <w:sz w:val="24"/>
          <w:szCs w:val="24"/>
        </w:rPr>
      </w:pPr>
      <w:r w:rsidRPr="00A75688">
        <w:rPr>
          <w:sz w:val="24"/>
          <w:szCs w:val="24"/>
        </w:rPr>
        <w:t xml:space="preserve">Table </w:t>
      </w:r>
      <w:r w:rsidRPr="00A75688">
        <w:rPr>
          <w:sz w:val="24"/>
          <w:szCs w:val="24"/>
        </w:rPr>
        <w:fldChar w:fldCharType="begin"/>
      </w:r>
      <w:r w:rsidRPr="00A75688">
        <w:rPr>
          <w:sz w:val="24"/>
          <w:szCs w:val="24"/>
        </w:rPr>
        <w:instrText xml:space="preserve"> SEQ Table \* ARABIC </w:instrText>
      </w:r>
      <w:r w:rsidRPr="00A75688">
        <w:rPr>
          <w:sz w:val="24"/>
          <w:szCs w:val="24"/>
        </w:rPr>
        <w:fldChar w:fldCharType="separate"/>
      </w:r>
      <w:r w:rsidRPr="00A75688">
        <w:rPr>
          <w:noProof/>
          <w:sz w:val="24"/>
          <w:szCs w:val="24"/>
        </w:rPr>
        <w:t>2</w:t>
      </w:r>
      <w:r w:rsidRPr="00A75688">
        <w:rPr>
          <w:sz w:val="24"/>
          <w:szCs w:val="24"/>
        </w:rPr>
        <w:fldChar w:fldCharType="end"/>
      </w:r>
      <w:r w:rsidRPr="00A75688">
        <w:rPr>
          <w:sz w:val="24"/>
          <w:szCs w:val="24"/>
        </w:rPr>
        <w:t xml:space="preserve">. </w:t>
      </w:r>
      <w:r w:rsidRPr="00A75688">
        <w:rPr>
          <w:sz w:val="24"/>
          <w:szCs w:val="24"/>
        </w:rPr>
        <w:t>Pearson correlation coefficients between the first three principal components (PC1, PC2, PC3) and the Niño 3.4 Index. PC2 shows a strong positive correlation, reflecting its close association with ENSO variability.</w:t>
      </w:r>
    </w:p>
    <w:p w14:paraId="3A77B5F7" w14:textId="776A9807" w:rsidR="00C71531" w:rsidRPr="00C71531" w:rsidRDefault="00A75688" w:rsidP="00A75688">
      <w:pPr>
        <w:spacing w:after="160"/>
        <w:rPr>
          <w:rFonts w:ascii="Arial" w:hAnsi="Arial" w:cs="Arial"/>
        </w:rPr>
      </w:pPr>
      <w:r w:rsidRPr="00A75688">
        <w:rPr>
          <w:rFonts w:ascii="Arial" w:hAnsi="Arial" w:cs="Arial"/>
          <w:b/>
          <w:bCs/>
        </w:rPr>
        <w:t xml:space="preserve">Table </w:t>
      </w:r>
      <w:r w:rsidRPr="00A75688">
        <w:rPr>
          <w:rFonts w:ascii="Arial" w:hAnsi="Arial" w:cs="Arial"/>
          <w:b/>
          <w:bCs/>
        </w:rPr>
        <w:t>2</w:t>
      </w:r>
      <w:r w:rsidRPr="00A75688">
        <w:rPr>
          <w:rFonts w:ascii="Arial" w:hAnsi="Arial" w:cs="Arial"/>
        </w:rPr>
        <w:t xml:space="preserve"> </w:t>
      </w:r>
      <w:r w:rsidRPr="00A75688">
        <w:rPr>
          <w:rFonts w:ascii="Arial" w:hAnsi="Arial" w:cs="Arial"/>
        </w:rPr>
        <w:t>indicates that PC2 is strongly associated with the Niño 3.4 index (</w:t>
      </w:r>
      <m:oMath>
        <m:r>
          <w:rPr>
            <w:rFonts w:ascii="Cambria Math" w:hAnsi="Cambria Math" w:cs="Arial"/>
          </w:rPr>
          <m:t>r</m:t>
        </m:r>
      </m:oMath>
      <w:r w:rsidRPr="00A75688">
        <w:rPr>
          <w:rFonts w:ascii="Arial" w:hAnsi="Arial" w:cs="Arial"/>
        </w:rPr>
        <w:t xml:space="preserve"> ≈ 0.93), confirming that the second mode largely represents ENSO</w:t>
      </w:r>
      <w:r w:rsidRPr="00A75688">
        <w:rPr>
          <w:rFonts w:ascii="Cambria Math" w:hAnsi="Cambria Math" w:cs="Cambria Math"/>
        </w:rPr>
        <w:t>‐</w:t>
      </w:r>
      <w:r w:rsidRPr="00A75688">
        <w:rPr>
          <w:rFonts w:ascii="Arial" w:hAnsi="Arial" w:cs="Arial"/>
        </w:rPr>
        <w:t>related SST variability, while PC1 and PC3 show weaker correlations.</w:t>
      </w:r>
    </w:p>
    <w:p w14:paraId="18EE8CDB" w14:textId="66203DDA" w:rsidR="0071235D" w:rsidRPr="00A75688" w:rsidRDefault="00C71531" w:rsidP="00A75688">
      <w:pPr>
        <w:spacing w:after="160"/>
        <w:rPr>
          <w:rFonts w:ascii="Arial" w:hAnsi="Arial" w:cs="Arial"/>
          <w:b/>
          <w:bCs/>
        </w:rPr>
      </w:pPr>
      <w:r w:rsidRPr="00C71531">
        <w:rPr>
          <w:rFonts w:ascii="Arial" w:hAnsi="Arial" w:cs="Arial"/>
          <w:b/>
          <w:bCs/>
        </w:rPr>
        <w:t>4. Discussion</w:t>
      </w:r>
    </w:p>
    <w:p w14:paraId="274BF065" w14:textId="2860A4B3" w:rsidR="0071235D" w:rsidRPr="0071235D" w:rsidRDefault="0071235D" w:rsidP="00A75688">
      <w:pPr>
        <w:spacing w:after="160"/>
        <w:rPr>
          <w:rFonts w:ascii="Arial" w:hAnsi="Arial" w:cs="Arial"/>
        </w:rPr>
      </w:pPr>
      <w:r w:rsidRPr="0071235D">
        <w:rPr>
          <w:rFonts w:ascii="Arial" w:hAnsi="Arial" w:cs="Arial"/>
        </w:rPr>
        <w:t xml:space="preserve">The results demonstrate that the leading modes of SST variability align with known climate patterns. </w:t>
      </w:r>
      <w:proofErr w:type="gramStart"/>
      <w:r w:rsidRPr="0071235D">
        <w:rPr>
          <w:rFonts w:ascii="Arial" w:hAnsi="Arial" w:cs="Arial"/>
        </w:rPr>
        <w:t>In particular, EOF2</w:t>
      </w:r>
      <w:proofErr w:type="gramEnd"/>
      <w:r w:rsidRPr="0071235D">
        <w:rPr>
          <w:rFonts w:ascii="Arial" w:hAnsi="Arial" w:cs="Arial"/>
        </w:rPr>
        <w:t>’s strong correlation with the Niño 3.4 index highlights its association with ENSO, consistent with previous studies (</w:t>
      </w:r>
      <w:proofErr w:type="spellStart"/>
      <w:r w:rsidRPr="0071235D">
        <w:rPr>
          <w:rFonts w:ascii="Arial" w:hAnsi="Arial" w:cs="Arial"/>
        </w:rPr>
        <w:t>Deser</w:t>
      </w:r>
      <w:proofErr w:type="spellEnd"/>
      <w:r w:rsidRPr="0071235D">
        <w:rPr>
          <w:rFonts w:ascii="Arial" w:hAnsi="Arial" w:cs="Arial"/>
        </w:rPr>
        <w:t xml:space="preserve"> et al. 2010). The first EOF captures broader spatial variability that may blend long</w:t>
      </w:r>
      <w:r w:rsidRPr="0071235D">
        <w:rPr>
          <w:rFonts w:ascii="Cambria Math" w:hAnsi="Cambria Math" w:cs="Cambria Math"/>
        </w:rPr>
        <w:t>‐</w:t>
      </w:r>
      <w:r w:rsidRPr="0071235D">
        <w:rPr>
          <w:rFonts w:ascii="Arial" w:hAnsi="Arial" w:cs="Arial"/>
        </w:rPr>
        <w:t xml:space="preserve">term trends </w:t>
      </w:r>
      <w:r w:rsidRPr="0071235D">
        <w:rPr>
          <w:rFonts w:ascii="Arial" w:hAnsi="Arial" w:cs="Arial"/>
        </w:rPr>
        <w:lastRenderedPageBreak/>
        <w:t>or additional global oscillations. Although these modes match well with expectations from the literature, some uncertainties arise from data preprocessing choices—such as the methods for deseasonalization, missing data interpolation, and latitude weighting. These steps, while standard, can introduce subtle biases in the resulting EOF patterns.</w:t>
      </w:r>
    </w:p>
    <w:p w14:paraId="11A1D914" w14:textId="5F3D846E" w:rsidR="00C71531" w:rsidRPr="00C71531" w:rsidRDefault="0071235D" w:rsidP="00A75688">
      <w:pPr>
        <w:spacing w:after="160"/>
        <w:rPr>
          <w:rFonts w:ascii="Arial" w:hAnsi="Arial" w:cs="Arial"/>
        </w:rPr>
      </w:pPr>
      <w:r w:rsidRPr="0071235D">
        <w:rPr>
          <w:rFonts w:ascii="Arial" w:hAnsi="Arial" w:cs="Arial"/>
        </w:rPr>
        <w:t>Limitations involve the reliance on a single SST dataset (Ishii et al. 2005) and the absence of formal significance testing for the eigenvalues. Extending this work with multiple datasets or comparing to other climate indices (e.g., the PDO or NAO) could help verify robustness and clarify the physical interpretations of higher</w:t>
      </w:r>
      <w:r w:rsidRPr="0071235D">
        <w:rPr>
          <w:rFonts w:ascii="Cambria Math" w:hAnsi="Cambria Math" w:cs="Cambria Math"/>
        </w:rPr>
        <w:t>‐</w:t>
      </w:r>
      <w:r w:rsidRPr="0071235D">
        <w:rPr>
          <w:rFonts w:ascii="Arial" w:hAnsi="Arial" w:cs="Arial"/>
        </w:rPr>
        <w:t>order modes. In addition, incorporating atmospheric variables might reveal more comprehensive ocean–atmosphere coupling. Future research could also examine changing behaviors of these modes across different epochs (pre</w:t>
      </w:r>
      <w:r w:rsidRPr="0071235D">
        <w:rPr>
          <w:rFonts w:ascii="Cambria Math" w:hAnsi="Cambria Math" w:cs="Cambria Math"/>
        </w:rPr>
        <w:t>‐</w:t>
      </w:r>
      <w:r w:rsidRPr="0071235D">
        <w:rPr>
          <w:rFonts w:ascii="Arial" w:hAnsi="Arial" w:cs="Arial"/>
        </w:rPr>
        <w:t>2000 vs. post</w:t>
      </w:r>
      <w:r w:rsidRPr="0071235D">
        <w:rPr>
          <w:rFonts w:ascii="Cambria Math" w:hAnsi="Cambria Math" w:cs="Cambria Math"/>
        </w:rPr>
        <w:t>‐</w:t>
      </w:r>
      <w:r w:rsidRPr="0071235D">
        <w:rPr>
          <w:rFonts w:ascii="Arial" w:hAnsi="Arial" w:cs="Arial"/>
        </w:rPr>
        <w:t>2000) to explore the potential influence of climate change on the spatial and temporal signatures of global SST variability.</w:t>
      </w:r>
    </w:p>
    <w:p w14:paraId="68082459" w14:textId="3C5DB90E" w:rsidR="0071235D" w:rsidRPr="00A75688" w:rsidRDefault="00C71531" w:rsidP="00A75688">
      <w:pPr>
        <w:spacing w:after="160"/>
        <w:rPr>
          <w:rFonts w:ascii="Arial" w:hAnsi="Arial" w:cs="Arial"/>
          <w:b/>
          <w:bCs/>
        </w:rPr>
      </w:pPr>
      <w:r w:rsidRPr="00C71531">
        <w:rPr>
          <w:rFonts w:ascii="Arial" w:hAnsi="Arial" w:cs="Arial"/>
          <w:b/>
          <w:bCs/>
        </w:rPr>
        <w:t>5. Conclusion</w:t>
      </w:r>
    </w:p>
    <w:p w14:paraId="6DE9E3B4" w14:textId="77777777" w:rsidR="0071235D" w:rsidRPr="0071235D" w:rsidRDefault="0071235D" w:rsidP="00A75688">
      <w:pPr>
        <w:spacing w:after="160"/>
        <w:rPr>
          <w:rFonts w:ascii="Arial" w:eastAsiaTheme="minorEastAsia" w:hAnsi="Arial" w:cs="Arial"/>
          <w:kern w:val="2"/>
          <w14:ligatures w14:val="standardContextual"/>
        </w:rPr>
      </w:pPr>
      <w:r w:rsidRPr="0071235D">
        <w:rPr>
          <w:rFonts w:ascii="Arial" w:eastAsiaTheme="minorEastAsia" w:hAnsi="Arial" w:cs="Arial"/>
          <w:kern w:val="2"/>
          <w14:ligatures w14:val="standardContextual"/>
        </w:rPr>
        <w:t>This analysis revealed that the first two EOFs dominate global SST variability, with the second mode strongly tied to ENSO, as confirmed by a high correlation with the Niño 3.4 index. By demonstrating how major climate patterns appear in the dominant modes, the lab successfully addressed its main research question regarding the identification and interpretation of leading global SST variability modes.</w:t>
      </w:r>
    </w:p>
    <w:p w14:paraId="71EF984A" w14:textId="7E266426" w:rsidR="00C71531" w:rsidRPr="00C71531" w:rsidRDefault="0071235D" w:rsidP="00A75688">
      <w:pPr>
        <w:spacing w:after="160"/>
        <w:rPr>
          <w:rFonts w:ascii="Arial" w:eastAsiaTheme="minorEastAsia" w:hAnsi="Arial" w:cs="Arial"/>
          <w:kern w:val="2"/>
          <w14:ligatures w14:val="standardContextual"/>
        </w:rPr>
      </w:pPr>
      <w:r w:rsidRPr="0071235D">
        <w:rPr>
          <w:rFonts w:ascii="Arial" w:eastAsiaTheme="minorEastAsia" w:hAnsi="Arial" w:cs="Arial"/>
          <w:kern w:val="2"/>
          <w14:ligatures w14:val="standardContextual"/>
        </w:rPr>
        <w:t>These findings emphasize the importance of the tropical Pacific in shaping global climate fluctuations, suggesting practical applications in seasonal</w:t>
      </w:r>
      <w:r w:rsidRPr="0071235D">
        <w:rPr>
          <w:rFonts w:ascii="Cambria Math" w:eastAsiaTheme="minorEastAsia" w:hAnsi="Cambria Math" w:cs="Cambria Math"/>
          <w:kern w:val="2"/>
          <w14:ligatures w14:val="standardContextual"/>
        </w:rPr>
        <w:t>‐</w:t>
      </w:r>
      <w:r w:rsidRPr="0071235D">
        <w:rPr>
          <w:rFonts w:ascii="Arial" w:eastAsiaTheme="minorEastAsia" w:hAnsi="Arial" w:cs="Arial"/>
          <w:kern w:val="2"/>
          <w14:ligatures w14:val="standardContextual"/>
        </w:rPr>
        <w:t>to</w:t>
      </w:r>
      <w:r w:rsidRPr="0071235D">
        <w:rPr>
          <w:rFonts w:ascii="Cambria Math" w:eastAsiaTheme="minorEastAsia" w:hAnsi="Cambria Math" w:cs="Cambria Math"/>
          <w:kern w:val="2"/>
          <w14:ligatures w14:val="standardContextual"/>
        </w:rPr>
        <w:t>‐</w:t>
      </w:r>
      <w:r w:rsidRPr="0071235D">
        <w:rPr>
          <w:rFonts w:ascii="Arial" w:eastAsiaTheme="minorEastAsia" w:hAnsi="Arial" w:cs="Arial"/>
          <w:kern w:val="2"/>
          <w14:ligatures w14:val="standardContextual"/>
        </w:rPr>
        <w:t>interannual forecasting and in improving climate model validations. More broadly, the results highlight how relatively few patterns can account for a large portion of SST variance, aiding climate diagnostics and teleconnection studies. Future work might expand the dataset range, assess statistical significance for each EOF, and incorporate additional variables (e.g., sea level pressure or wind stress) to clarify the coupled nature of ocean–atmosphere dynamics and to investigate how these modes evolve under changing climate conditions.</w:t>
      </w:r>
    </w:p>
    <w:p w14:paraId="4F382A8E" w14:textId="77777777" w:rsidR="00A75688" w:rsidRDefault="00A75688">
      <w:pPr>
        <w:spacing w:after="160" w:line="278" w:lineRule="auto"/>
        <w:rPr>
          <w:rFonts w:ascii="Arial" w:hAnsi="Arial" w:cs="Arial"/>
          <w:b/>
          <w:bCs/>
        </w:rPr>
      </w:pPr>
      <w:r>
        <w:rPr>
          <w:rFonts w:ascii="Arial" w:hAnsi="Arial" w:cs="Arial"/>
          <w:b/>
          <w:bCs/>
        </w:rPr>
        <w:br w:type="page"/>
      </w:r>
    </w:p>
    <w:p w14:paraId="0FB243D9" w14:textId="70F702ED" w:rsidR="00C71531" w:rsidRPr="00C71531" w:rsidRDefault="00C71531" w:rsidP="00A75688">
      <w:pPr>
        <w:spacing w:after="160"/>
        <w:rPr>
          <w:rFonts w:ascii="Arial" w:hAnsi="Arial" w:cs="Arial"/>
          <w:b/>
          <w:bCs/>
        </w:rPr>
      </w:pPr>
      <w:r w:rsidRPr="00C71531">
        <w:rPr>
          <w:rFonts w:ascii="Arial" w:hAnsi="Arial" w:cs="Arial"/>
          <w:b/>
          <w:bCs/>
        </w:rPr>
        <w:lastRenderedPageBreak/>
        <w:t>References</w:t>
      </w:r>
    </w:p>
    <w:p w14:paraId="2E996C7D" w14:textId="3BD96B51" w:rsidR="00D427C7" w:rsidRDefault="00D427C7" w:rsidP="00D427C7">
      <w:pPr>
        <w:numPr>
          <w:ilvl w:val="0"/>
          <w:numId w:val="12"/>
        </w:numPr>
        <w:spacing w:after="160"/>
        <w:rPr>
          <w:rFonts w:ascii="Arial" w:hAnsi="Arial" w:cs="Arial"/>
        </w:rPr>
      </w:pPr>
      <w:proofErr w:type="spellStart"/>
      <w:r w:rsidRPr="00D427C7">
        <w:rPr>
          <w:rFonts w:ascii="Arial" w:hAnsi="Arial" w:cs="Arial"/>
        </w:rPr>
        <w:t>Deser</w:t>
      </w:r>
      <w:proofErr w:type="spellEnd"/>
      <w:r w:rsidRPr="00D427C7">
        <w:rPr>
          <w:rFonts w:ascii="Arial" w:hAnsi="Arial" w:cs="Arial"/>
        </w:rPr>
        <w:t>, C., Alexander, M. A., Xie, S.-P., &amp; Phillips, A. S. (20</w:t>
      </w:r>
      <w:r w:rsidR="007476FF">
        <w:rPr>
          <w:rFonts w:ascii="Arial" w:hAnsi="Arial" w:cs="Arial"/>
        </w:rPr>
        <w:t>10</w:t>
      </w:r>
      <w:r w:rsidRPr="00D427C7">
        <w:rPr>
          <w:rFonts w:ascii="Arial" w:hAnsi="Arial" w:cs="Arial"/>
        </w:rPr>
        <w:t>). Sea Surface Temperature Variability: Patterns and Mechanisms. </w:t>
      </w:r>
      <w:r w:rsidRPr="00D427C7">
        <w:rPr>
          <w:rFonts w:ascii="Arial" w:hAnsi="Arial" w:cs="Arial"/>
          <w:i/>
          <w:iCs/>
        </w:rPr>
        <w:t>Annual Review of Marine Science</w:t>
      </w:r>
      <w:r w:rsidRPr="00D427C7">
        <w:rPr>
          <w:rFonts w:ascii="Arial" w:hAnsi="Arial" w:cs="Arial"/>
        </w:rPr>
        <w:t>, </w:t>
      </w:r>
      <w:r w:rsidRPr="00D427C7">
        <w:rPr>
          <w:rFonts w:ascii="Arial" w:hAnsi="Arial" w:cs="Arial"/>
          <w:i/>
          <w:iCs/>
        </w:rPr>
        <w:t>2</w:t>
      </w:r>
      <w:r w:rsidRPr="00D427C7">
        <w:rPr>
          <w:rFonts w:ascii="Arial" w:hAnsi="Arial" w:cs="Arial"/>
        </w:rPr>
        <w:t xml:space="preserve">(1), 115–143. </w:t>
      </w:r>
      <w:hyperlink r:id="rId18" w:history="1">
        <w:r w:rsidR="007476FF" w:rsidRPr="00413745">
          <w:rPr>
            <w:rStyle w:val="Hyperlink"/>
            <w:rFonts w:ascii="Arial" w:hAnsi="Arial" w:cs="Arial"/>
          </w:rPr>
          <w:t>https://doi.org/10.1146/annurev-marine-120408-151453</w:t>
        </w:r>
      </w:hyperlink>
      <w:r w:rsidR="007476FF">
        <w:rPr>
          <w:rFonts w:ascii="Arial" w:hAnsi="Arial" w:cs="Arial"/>
        </w:rPr>
        <w:t xml:space="preserve"> </w:t>
      </w:r>
    </w:p>
    <w:p w14:paraId="6EDC5391" w14:textId="7C6D7741" w:rsidR="007476FF" w:rsidRPr="00D427C7" w:rsidRDefault="007476FF" w:rsidP="00D427C7">
      <w:pPr>
        <w:numPr>
          <w:ilvl w:val="0"/>
          <w:numId w:val="12"/>
        </w:numPr>
        <w:spacing w:after="160"/>
        <w:rPr>
          <w:rFonts w:ascii="Arial" w:hAnsi="Arial" w:cs="Arial"/>
        </w:rPr>
      </w:pPr>
      <w:r w:rsidRPr="007476FF">
        <w:rPr>
          <w:rFonts w:ascii="Arial" w:hAnsi="Arial" w:cs="Arial"/>
        </w:rPr>
        <w:t xml:space="preserve">Golden Gate Weather Services. (n.d.). </w:t>
      </w:r>
      <w:r w:rsidRPr="007476FF">
        <w:rPr>
          <w:rFonts w:ascii="Arial" w:hAnsi="Arial" w:cs="Arial"/>
          <w:i/>
          <w:iCs/>
        </w:rPr>
        <w:t>Oceanic Niño Index (ONI)</w:t>
      </w:r>
      <w:r w:rsidRPr="007476FF">
        <w:rPr>
          <w:rFonts w:ascii="Arial" w:hAnsi="Arial" w:cs="Arial"/>
        </w:rPr>
        <w:t xml:space="preserve">. Retrieved February 5, 2025, from </w:t>
      </w:r>
      <w:hyperlink r:id="rId19" w:tgtFrame="_new" w:history="1">
        <w:r w:rsidRPr="007476FF">
          <w:rPr>
            <w:rStyle w:val="Hyperlink"/>
            <w:rFonts w:ascii="Arial" w:hAnsi="Arial" w:cs="Arial"/>
          </w:rPr>
          <w:t>https://ggweather.com/enso/oni.htm</w:t>
        </w:r>
      </w:hyperlink>
    </w:p>
    <w:p w14:paraId="64ED406D" w14:textId="6A6B791A" w:rsidR="00684244" w:rsidRPr="00D427C7" w:rsidRDefault="00D427C7" w:rsidP="00D427C7">
      <w:pPr>
        <w:numPr>
          <w:ilvl w:val="0"/>
          <w:numId w:val="12"/>
        </w:numPr>
        <w:spacing w:after="160"/>
        <w:rPr>
          <w:rFonts w:ascii="Arial" w:hAnsi="Arial" w:cs="Arial"/>
        </w:rPr>
      </w:pPr>
      <w:r w:rsidRPr="00D427C7">
        <w:rPr>
          <w:rFonts w:ascii="Arial" w:hAnsi="Arial" w:cs="Arial"/>
        </w:rPr>
        <w:t>‌</w:t>
      </w:r>
      <w:r w:rsidR="00684244" w:rsidRPr="00D427C7">
        <w:rPr>
          <w:rFonts w:ascii="Arial" w:hAnsi="Arial" w:cs="Arial"/>
        </w:rPr>
        <w:t xml:space="preserve">Huang, P., &amp; Xie, S.-P. (2015). Mechanisms of change in ENSO-induced tropical Pacific rainfall variability in a warming climate. Nature Geoscience, 8(12), 922–926. </w:t>
      </w:r>
      <w:hyperlink r:id="rId20" w:history="1">
        <w:r w:rsidR="00684244" w:rsidRPr="00D427C7">
          <w:rPr>
            <w:rStyle w:val="Hyperlink"/>
            <w:rFonts w:ascii="Arial" w:hAnsi="Arial" w:cs="Arial"/>
          </w:rPr>
          <w:t>https://doi.org/10.1038/ngeo2571</w:t>
        </w:r>
      </w:hyperlink>
      <w:r w:rsidR="00684244" w:rsidRPr="00D427C7">
        <w:rPr>
          <w:rFonts w:ascii="Arial" w:hAnsi="Arial" w:cs="Arial"/>
        </w:rPr>
        <w:t xml:space="preserve"> </w:t>
      </w:r>
    </w:p>
    <w:p w14:paraId="7CCD7893" w14:textId="7C39E16B" w:rsidR="00684244" w:rsidRPr="00D427C7" w:rsidRDefault="00684244" w:rsidP="00D427C7">
      <w:pPr>
        <w:numPr>
          <w:ilvl w:val="0"/>
          <w:numId w:val="12"/>
        </w:numPr>
        <w:spacing w:after="160"/>
        <w:rPr>
          <w:rFonts w:ascii="Arial" w:hAnsi="Arial" w:cs="Arial"/>
        </w:rPr>
      </w:pPr>
      <w:r w:rsidRPr="00684244">
        <w:rPr>
          <w:rFonts w:ascii="Arial" w:hAnsi="Arial" w:cs="Arial"/>
        </w:rPr>
        <w:t xml:space="preserve">Ishii, M., </w:t>
      </w:r>
      <w:proofErr w:type="spellStart"/>
      <w:r w:rsidRPr="00684244">
        <w:rPr>
          <w:rFonts w:ascii="Arial" w:hAnsi="Arial" w:cs="Arial"/>
        </w:rPr>
        <w:t>Shouji</w:t>
      </w:r>
      <w:proofErr w:type="spellEnd"/>
      <w:r w:rsidRPr="00684244">
        <w:rPr>
          <w:rFonts w:ascii="Arial" w:hAnsi="Arial" w:cs="Arial"/>
        </w:rPr>
        <w:t>, A., Sugimoto, S., &amp; Matsumoto, T. (2005). Objective Analyses of Sea-Surface Temperature and Marine Meteorological Variables for the 20th Century using ICOADS and the Kobe Collection. International Journal of Climatology, 25, 865-879.</w:t>
      </w:r>
      <w:r>
        <w:rPr>
          <w:rFonts w:ascii="Arial" w:hAnsi="Arial" w:cs="Arial"/>
        </w:rPr>
        <w:t xml:space="preserve"> </w:t>
      </w:r>
      <w:hyperlink r:id="rId21" w:history="1">
        <w:r w:rsidR="00D427C7" w:rsidRPr="00413745">
          <w:rPr>
            <w:rStyle w:val="Hyperlink"/>
            <w:rFonts w:ascii="Arial" w:hAnsi="Arial" w:cs="Arial"/>
          </w:rPr>
          <w:t>https://doi.org/10.1002/joc.1169</w:t>
        </w:r>
      </w:hyperlink>
      <w:r w:rsidR="00D427C7">
        <w:rPr>
          <w:rFonts w:ascii="Arial" w:hAnsi="Arial" w:cs="Arial"/>
        </w:rPr>
        <w:t xml:space="preserve"> </w:t>
      </w:r>
    </w:p>
    <w:p w14:paraId="71979D94" w14:textId="5603BE02" w:rsidR="00684244" w:rsidRPr="00684244" w:rsidRDefault="00684244" w:rsidP="00684244">
      <w:pPr>
        <w:numPr>
          <w:ilvl w:val="0"/>
          <w:numId w:val="12"/>
        </w:numPr>
        <w:spacing w:after="160"/>
        <w:rPr>
          <w:rFonts w:ascii="Arial" w:hAnsi="Arial" w:cs="Arial"/>
        </w:rPr>
      </w:pPr>
      <w:r w:rsidRPr="00684244">
        <w:rPr>
          <w:rFonts w:ascii="Arial" w:hAnsi="Arial" w:cs="Arial"/>
        </w:rPr>
        <w:t xml:space="preserve">NOAA Physical Sciences Laboratory (PSL). (n.d.). Niño 3.4 Index Data. ERSST.v5. National Weather Service, National Centers for Environmental Prediction. Retrieved from </w:t>
      </w:r>
      <w:hyperlink r:id="rId22" w:history="1">
        <w:r w:rsidRPr="00413745">
          <w:rPr>
            <w:rStyle w:val="Hyperlink"/>
            <w:rFonts w:ascii="Arial" w:hAnsi="Arial" w:cs="Arial"/>
          </w:rPr>
          <w:t>https://psl.noaa.gov/data/correlation/nina34.data</w:t>
        </w:r>
      </w:hyperlink>
      <w:r w:rsidRPr="00684244">
        <w:rPr>
          <w:rFonts w:ascii="Arial" w:hAnsi="Arial" w:cs="Arial"/>
        </w:rPr>
        <w:t>.</w:t>
      </w:r>
      <w:r>
        <w:rPr>
          <w:rFonts w:ascii="Arial" w:hAnsi="Arial" w:cs="Arial"/>
        </w:rPr>
        <w:t xml:space="preserve"> </w:t>
      </w:r>
    </w:p>
    <w:p w14:paraId="60853278" w14:textId="2EF23CEE" w:rsidR="00684244" w:rsidRPr="00684244" w:rsidRDefault="00684244" w:rsidP="00684244">
      <w:pPr>
        <w:numPr>
          <w:ilvl w:val="0"/>
          <w:numId w:val="12"/>
        </w:numPr>
        <w:spacing w:after="160"/>
        <w:rPr>
          <w:rFonts w:ascii="Arial" w:hAnsi="Arial" w:cs="Arial"/>
        </w:rPr>
      </w:pPr>
      <w:r w:rsidRPr="00684244">
        <w:rPr>
          <w:rFonts w:ascii="Arial" w:hAnsi="Arial" w:cs="Arial"/>
        </w:rPr>
        <w:t xml:space="preserve">Trenberth, K. E., &amp; Hoar, T. J. (1997). El Niño and climate change. Geophysical Research Letters, 24(23), 3057–3060. </w:t>
      </w:r>
      <w:hyperlink r:id="rId23" w:history="1">
        <w:r w:rsidRPr="00413745">
          <w:rPr>
            <w:rStyle w:val="Hyperlink"/>
            <w:rFonts w:ascii="Arial" w:hAnsi="Arial" w:cs="Arial"/>
          </w:rPr>
          <w:t>https://doi.org/10.1029/97gl03092</w:t>
        </w:r>
      </w:hyperlink>
      <w:r>
        <w:rPr>
          <w:rFonts w:ascii="Arial" w:hAnsi="Arial" w:cs="Arial"/>
        </w:rPr>
        <w:t xml:space="preserve"> </w:t>
      </w:r>
    </w:p>
    <w:p w14:paraId="70EE2199" w14:textId="5743906D" w:rsidR="00684244" w:rsidRPr="00684244" w:rsidRDefault="00684244" w:rsidP="00684244">
      <w:pPr>
        <w:numPr>
          <w:ilvl w:val="0"/>
          <w:numId w:val="12"/>
        </w:numPr>
        <w:spacing w:after="160"/>
        <w:rPr>
          <w:rFonts w:ascii="Arial" w:hAnsi="Arial" w:cs="Arial"/>
        </w:rPr>
      </w:pPr>
      <w:r w:rsidRPr="00684244">
        <w:rPr>
          <w:rFonts w:ascii="Arial" w:hAnsi="Arial" w:cs="Arial"/>
        </w:rPr>
        <w:t xml:space="preserve">von Storch, H., &amp; Zwiers, F. W. (1999). Statistical Analysis in Climate Research. Cambridge University Press, 484 p. </w:t>
      </w:r>
      <w:hyperlink r:id="rId24" w:history="1">
        <w:r w:rsidRPr="00413745">
          <w:rPr>
            <w:rStyle w:val="Hyperlink"/>
            <w:rFonts w:ascii="Arial" w:hAnsi="Arial" w:cs="Arial"/>
          </w:rPr>
          <w:t>https://doi.org/10.1017/CBO9780511612336</w:t>
        </w:r>
      </w:hyperlink>
      <w:r>
        <w:rPr>
          <w:rFonts w:ascii="Arial" w:hAnsi="Arial" w:cs="Arial"/>
        </w:rPr>
        <w:t xml:space="preserve"> </w:t>
      </w:r>
    </w:p>
    <w:p w14:paraId="28B9A0FF" w14:textId="5EBBA107" w:rsidR="00A15E81" w:rsidRPr="00A15E81" w:rsidRDefault="00684244" w:rsidP="00684244">
      <w:pPr>
        <w:numPr>
          <w:ilvl w:val="0"/>
          <w:numId w:val="12"/>
        </w:numPr>
        <w:spacing w:after="160"/>
        <w:rPr>
          <w:rFonts w:ascii="Arial" w:hAnsi="Arial" w:cs="Arial"/>
        </w:rPr>
      </w:pPr>
      <w:proofErr w:type="spellStart"/>
      <w:r w:rsidRPr="00684244">
        <w:rPr>
          <w:rFonts w:ascii="Arial" w:hAnsi="Arial" w:cs="Arial"/>
        </w:rPr>
        <w:t>Werb</w:t>
      </w:r>
      <w:proofErr w:type="spellEnd"/>
      <w:r w:rsidRPr="00684244">
        <w:rPr>
          <w:rFonts w:ascii="Arial" w:hAnsi="Arial" w:cs="Arial"/>
        </w:rPr>
        <w:t xml:space="preserve">, B. E., &amp; Rudnick, D. L. (2023). Remarkable Changes in the Dominant Modes of North Pacific Sea Surface Temperature. Geophysical Research Letters, 50(4). </w:t>
      </w:r>
      <w:hyperlink r:id="rId25" w:history="1">
        <w:r w:rsidRPr="00413745">
          <w:rPr>
            <w:rStyle w:val="Hyperlink"/>
            <w:rFonts w:ascii="Arial" w:hAnsi="Arial" w:cs="Arial"/>
          </w:rPr>
          <w:t>https://doi.org/10.1029/2022gl101078</w:t>
        </w:r>
      </w:hyperlink>
      <w:r>
        <w:rPr>
          <w:rFonts w:ascii="Arial" w:hAnsi="Arial" w:cs="Arial"/>
        </w:rPr>
        <w:t xml:space="preserve"> </w:t>
      </w:r>
    </w:p>
    <w:sectPr w:rsidR="00A15E81" w:rsidRPr="00A15E81" w:rsidSect="009E714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F3191" w14:textId="77777777" w:rsidR="006D5016" w:rsidRDefault="006D5016" w:rsidP="009E714C">
      <w:r>
        <w:separator/>
      </w:r>
    </w:p>
  </w:endnote>
  <w:endnote w:type="continuationSeparator" w:id="0">
    <w:p w14:paraId="7BF053EC" w14:textId="77777777" w:rsidR="006D5016" w:rsidRDefault="006D5016" w:rsidP="009E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9040815"/>
      <w:docPartObj>
        <w:docPartGallery w:val="Page Numbers (Bottom of Page)"/>
        <w:docPartUnique/>
      </w:docPartObj>
    </w:sdtPr>
    <w:sdtContent>
      <w:p w14:paraId="59C7EE96" w14:textId="620B1A0C" w:rsidR="009E714C" w:rsidRDefault="009E714C" w:rsidP="009E71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06250A" w14:textId="77777777" w:rsidR="009E714C" w:rsidRDefault="009E714C" w:rsidP="009E71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956490"/>
      <w:docPartObj>
        <w:docPartGallery w:val="Page Numbers (Bottom of Page)"/>
        <w:docPartUnique/>
      </w:docPartObj>
    </w:sdtPr>
    <w:sdtContent>
      <w:p w14:paraId="4AE7756C" w14:textId="2818598F" w:rsidR="009E714C" w:rsidRDefault="009E714C" w:rsidP="009E71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2D2B6A" w14:textId="77777777" w:rsidR="009E714C" w:rsidRDefault="009E714C" w:rsidP="009E71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54B2A" w14:textId="77777777" w:rsidR="006D5016" w:rsidRDefault="006D5016" w:rsidP="009E714C">
      <w:r>
        <w:separator/>
      </w:r>
    </w:p>
  </w:footnote>
  <w:footnote w:type="continuationSeparator" w:id="0">
    <w:p w14:paraId="40F7BD53" w14:textId="77777777" w:rsidR="006D5016" w:rsidRDefault="006D5016" w:rsidP="009E7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79BB"/>
    <w:multiLevelType w:val="multilevel"/>
    <w:tmpl w:val="B35C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074F9"/>
    <w:multiLevelType w:val="multilevel"/>
    <w:tmpl w:val="7C5C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219F"/>
    <w:multiLevelType w:val="multilevel"/>
    <w:tmpl w:val="182A7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27557"/>
    <w:multiLevelType w:val="multilevel"/>
    <w:tmpl w:val="BFC0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51F4"/>
    <w:multiLevelType w:val="multilevel"/>
    <w:tmpl w:val="78E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6052"/>
    <w:multiLevelType w:val="multilevel"/>
    <w:tmpl w:val="04B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05757"/>
    <w:multiLevelType w:val="multilevel"/>
    <w:tmpl w:val="B7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118ED"/>
    <w:multiLevelType w:val="multilevel"/>
    <w:tmpl w:val="E4E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06BAD"/>
    <w:multiLevelType w:val="multilevel"/>
    <w:tmpl w:val="351A6FA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B556D9"/>
    <w:multiLevelType w:val="multilevel"/>
    <w:tmpl w:val="FF589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9A3152"/>
    <w:multiLevelType w:val="multilevel"/>
    <w:tmpl w:val="93FC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274FD"/>
    <w:multiLevelType w:val="multilevel"/>
    <w:tmpl w:val="9CBA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34982"/>
    <w:multiLevelType w:val="multilevel"/>
    <w:tmpl w:val="9A02D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2C2F0B"/>
    <w:multiLevelType w:val="multilevel"/>
    <w:tmpl w:val="EC02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00189"/>
    <w:multiLevelType w:val="multilevel"/>
    <w:tmpl w:val="0E9C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75B2C"/>
    <w:multiLevelType w:val="multilevel"/>
    <w:tmpl w:val="D77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998766">
    <w:abstractNumId w:val="13"/>
  </w:num>
  <w:num w:numId="2" w16cid:durableId="1232547906">
    <w:abstractNumId w:val="15"/>
  </w:num>
  <w:num w:numId="3" w16cid:durableId="803693011">
    <w:abstractNumId w:val="3"/>
  </w:num>
  <w:num w:numId="4" w16cid:durableId="1479953755">
    <w:abstractNumId w:val="4"/>
  </w:num>
  <w:num w:numId="5" w16cid:durableId="1972200041">
    <w:abstractNumId w:val="14"/>
  </w:num>
  <w:num w:numId="6" w16cid:durableId="406347307">
    <w:abstractNumId w:val="6"/>
  </w:num>
  <w:num w:numId="7" w16cid:durableId="1739593967">
    <w:abstractNumId w:val="5"/>
  </w:num>
  <w:num w:numId="8" w16cid:durableId="532309465">
    <w:abstractNumId w:val="10"/>
  </w:num>
  <w:num w:numId="9" w16cid:durableId="830828501">
    <w:abstractNumId w:val="11"/>
  </w:num>
  <w:num w:numId="10" w16cid:durableId="1183082969">
    <w:abstractNumId w:val="1"/>
  </w:num>
  <w:num w:numId="11" w16cid:durableId="756753524">
    <w:abstractNumId w:val="0"/>
  </w:num>
  <w:num w:numId="12" w16cid:durableId="1940941891">
    <w:abstractNumId w:val="7"/>
  </w:num>
  <w:num w:numId="13" w16cid:durableId="1856069416">
    <w:abstractNumId w:val="8"/>
  </w:num>
  <w:num w:numId="14" w16cid:durableId="842205064">
    <w:abstractNumId w:val="9"/>
  </w:num>
  <w:num w:numId="15" w16cid:durableId="236405991">
    <w:abstractNumId w:val="2"/>
  </w:num>
  <w:num w:numId="16" w16cid:durableId="9727833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31"/>
    <w:rsid w:val="000033D4"/>
    <w:rsid w:val="0001508E"/>
    <w:rsid w:val="0005112F"/>
    <w:rsid w:val="000A0C3C"/>
    <w:rsid w:val="000A6EEC"/>
    <w:rsid w:val="000F2FBC"/>
    <w:rsid w:val="001126A5"/>
    <w:rsid w:val="001423CC"/>
    <w:rsid w:val="0015441C"/>
    <w:rsid w:val="00175A7C"/>
    <w:rsid w:val="00176469"/>
    <w:rsid w:val="00194190"/>
    <w:rsid w:val="00194EDF"/>
    <w:rsid w:val="001D1011"/>
    <w:rsid w:val="001D7B39"/>
    <w:rsid w:val="00214D62"/>
    <w:rsid w:val="00217255"/>
    <w:rsid w:val="002364FB"/>
    <w:rsid w:val="00241ADF"/>
    <w:rsid w:val="00244477"/>
    <w:rsid w:val="00282E5D"/>
    <w:rsid w:val="00284AE6"/>
    <w:rsid w:val="002E6DDC"/>
    <w:rsid w:val="003253B5"/>
    <w:rsid w:val="003426E2"/>
    <w:rsid w:val="00366B30"/>
    <w:rsid w:val="00387DAA"/>
    <w:rsid w:val="00397A1B"/>
    <w:rsid w:val="00436075"/>
    <w:rsid w:val="0043680F"/>
    <w:rsid w:val="004B7145"/>
    <w:rsid w:val="00522F96"/>
    <w:rsid w:val="00572C91"/>
    <w:rsid w:val="00583BDA"/>
    <w:rsid w:val="005C60D9"/>
    <w:rsid w:val="006459D8"/>
    <w:rsid w:val="00684244"/>
    <w:rsid w:val="006D5016"/>
    <w:rsid w:val="007077A2"/>
    <w:rsid w:val="0071235D"/>
    <w:rsid w:val="00721305"/>
    <w:rsid w:val="007476FF"/>
    <w:rsid w:val="00747AB2"/>
    <w:rsid w:val="00783E44"/>
    <w:rsid w:val="007C4AF5"/>
    <w:rsid w:val="007C55A1"/>
    <w:rsid w:val="007E560C"/>
    <w:rsid w:val="007F0486"/>
    <w:rsid w:val="00801403"/>
    <w:rsid w:val="008155F6"/>
    <w:rsid w:val="008D07F5"/>
    <w:rsid w:val="009353C0"/>
    <w:rsid w:val="00956EF1"/>
    <w:rsid w:val="009B6031"/>
    <w:rsid w:val="009E714C"/>
    <w:rsid w:val="009F6DD4"/>
    <w:rsid w:val="00A05A60"/>
    <w:rsid w:val="00A109D1"/>
    <w:rsid w:val="00A15E81"/>
    <w:rsid w:val="00A75688"/>
    <w:rsid w:val="00AB126E"/>
    <w:rsid w:val="00B04CB0"/>
    <w:rsid w:val="00B056D6"/>
    <w:rsid w:val="00B057C8"/>
    <w:rsid w:val="00B2494C"/>
    <w:rsid w:val="00B638D8"/>
    <w:rsid w:val="00BA1D6C"/>
    <w:rsid w:val="00BA40C0"/>
    <w:rsid w:val="00BC39B5"/>
    <w:rsid w:val="00BE26BC"/>
    <w:rsid w:val="00C04F25"/>
    <w:rsid w:val="00C0754B"/>
    <w:rsid w:val="00C1067C"/>
    <w:rsid w:val="00C57AD5"/>
    <w:rsid w:val="00C71531"/>
    <w:rsid w:val="00C86A5A"/>
    <w:rsid w:val="00CC4C25"/>
    <w:rsid w:val="00CC6F5A"/>
    <w:rsid w:val="00CD217E"/>
    <w:rsid w:val="00CE6847"/>
    <w:rsid w:val="00D11073"/>
    <w:rsid w:val="00D24CFE"/>
    <w:rsid w:val="00D346F6"/>
    <w:rsid w:val="00D41B31"/>
    <w:rsid w:val="00D427C7"/>
    <w:rsid w:val="00D75E3E"/>
    <w:rsid w:val="00D844A4"/>
    <w:rsid w:val="00D86C59"/>
    <w:rsid w:val="00DE6F76"/>
    <w:rsid w:val="00E026EF"/>
    <w:rsid w:val="00E20BFB"/>
    <w:rsid w:val="00E21594"/>
    <w:rsid w:val="00E53684"/>
    <w:rsid w:val="00E92D09"/>
    <w:rsid w:val="00EC558C"/>
    <w:rsid w:val="00ED3A01"/>
    <w:rsid w:val="00F22249"/>
    <w:rsid w:val="00F612C8"/>
    <w:rsid w:val="00F674FC"/>
    <w:rsid w:val="00FD28D2"/>
    <w:rsid w:val="00FE2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C815"/>
  <w15:chartTrackingRefBased/>
  <w15:docId w15:val="{74F4E8C7-D692-AD46-B009-D6EA303B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E8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71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5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5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5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5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531"/>
    <w:rPr>
      <w:rFonts w:eastAsiaTheme="majorEastAsia" w:cstheme="majorBidi"/>
      <w:color w:val="272727" w:themeColor="text1" w:themeTint="D8"/>
    </w:rPr>
  </w:style>
  <w:style w:type="paragraph" w:styleId="Title">
    <w:name w:val="Title"/>
    <w:basedOn w:val="Normal"/>
    <w:next w:val="Normal"/>
    <w:link w:val="TitleChar"/>
    <w:uiPriority w:val="10"/>
    <w:qFormat/>
    <w:rsid w:val="00C715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531"/>
    <w:pPr>
      <w:spacing w:before="160"/>
      <w:jc w:val="center"/>
    </w:pPr>
    <w:rPr>
      <w:i/>
      <w:iCs/>
      <w:color w:val="404040" w:themeColor="text1" w:themeTint="BF"/>
    </w:rPr>
  </w:style>
  <w:style w:type="character" w:customStyle="1" w:styleId="QuoteChar">
    <w:name w:val="Quote Char"/>
    <w:basedOn w:val="DefaultParagraphFont"/>
    <w:link w:val="Quote"/>
    <w:uiPriority w:val="29"/>
    <w:rsid w:val="00C71531"/>
    <w:rPr>
      <w:i/>
      <w:iCs/>
      <w:color w:val="404040" w:themeColor="text1" w:themeTint="BF"/>
    </w:rPr>
  </w:style>
  <w:style w:type="paragraph" w:styleId="ListParagraph">
    <w:name w:val="List Paragraph"/>
    <w:basedOn w:val="Normal"/>
    <w:uiPriority w:val="34"/>
    <w:qFormat/>
    <w:rsid w:val="00C71531"/>
    <w:pPr>
      <w:ind w:left="720"/>
      <w:contextualSpacing/>
    </w:pPr>
  </w:style>
  <w:style w:type="character" w:styleId="IntenseEmphasis">
    <w:name w:val="Intense Emphasis"/>
    <w:basedOn w:val="DefaultParagraphFont"/>
    <w:uiPriority w:val="21"/>
    <w:qFormat/>
    <w:rsid w:val="00C71531"/>
    <w:rPr>
      <w:i/>
      <w:iCs/>
      <w:color w:val="0F4761" w:themeColor="accent1" w:themeShade="BF"/>
    </w:rPr>
  </w:style>
  <w:style w:type="paragraph" w:styleId="IntenseQuote">
    <w:name w:val="Intense Quote"/>
    <w:basedOn w:val="Normal"/>
    <w:next w:val="Normal"/>
    <w:link w:val="IntenseQuoteChar"/>
    <w:uiPriority w:val="30"/>
    <w:qFormat/>
    <w:rsid w:val="00C71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531"/>
    <w:rPr>
      <w:i/>
      <w:iCs/>
      <w:color w:val="0F4761" w:themeColor="accent1" w:themeShade="BF"/>
    </w:rPr>
  </w:style>
  <w:style w:type="character" w:styleId="IntenseReference">
    <w:name w:val="Intense Reference"/>
    <w:basedOn w:val="DefaultParagraphFont"/>
    <w:uiPriority w:val="32"/>
    <w:qFormat/>
    <w:rsid w:val="00C71531"/>
    <w:rPr>
      <w:b/>
      <w:bCs/>
      <w:smallCaps/>
      <w:color w:val="0F4761" w:themeColor="accent1" w:themeShade="BF"/>
      <w:spacing w:val="5"/>
    </w:rPr>
  </w:style>
  <w:style w:type="table" w:styleId="TableGrid">
    <w:name w:val="Table Grid"/>
    <w:basedOn w:val="TableNormal"/>
    <w:uiPriority w:val="39"/>
    <w:rsid w:val="00EC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55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194EDF"/>
    <w:rPr>
      <w:color w:val="666666"/>
    </w:rPr>
  </w:style>
  <w:style w:type="paragraph" w:styleId="Caption">
    <w:name w:val="caption"/>
    <w:basedOn w:val="Normal"/>
    <w:next w:val="Normal"/>
    <w:uiPriority w:val="35"/>
    <w:unhideWhenUsed/>
    <w:qFormat/>
    <w:rsid w:val="00194EDF"/>
    <w:pPr>
      <w:spacing w:after="200"/>
    </w:pPr>
    <w:rPr>
      <w:i/>
      <w:iCs/>
      <w:color w:val="0E2841" w:themeColor="text2"/>
      <w:sz w:val="18"/>
      <w:szCs w:val="18"/>
    </w:rPr>
  </w:style>
  <w:style w:type="paragraph" w:styleId="Footer">
    <w:name w:val="footer"/>
    <w:basedOn w:val="Normal"/>
    <w:link w:val="FooterChar"/>
    <w:uiPriority w:val="99"/>
    <w:unhideWhenUsed/>
    <w:rsid w:val="009E714C"/>
    <w:pPr>
      <w:tabs>
        <w:tab w:val="center" w:pos="4680"/>
        <w:tab w:val="right" w:pos="9360"/>
      </w:tabs>
    </w:pPr>
  </w:style>
  <w:style w:type="character" w:customStyle="1" w:styleId="FooterChar">
    <w:name w:val="Footer Char"/>
    <w:basedOn w:val="DefaultParagraphFont"/>
    <w:link w:val="Footer"/>
    <w:uiPriority w:val="99"/>
    <w:rsid w:val="009E714C"/>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E714C"/>
  </w:style>
  <w:style w:type="paragraph" w:styleId="Header">
    <w:name w:val="header"/>
    <w:basedOn w:val="Normal"/>
    <w:link w:val="HeaderChar"/>
    <w:uiPriority w:val="99"/>
    <w:unhideWhenUsed/>
    <w:rsid w:val="009E714C"/>
    <w:pPr>
      <w:tabs>
        <w:tab w:val="center" w:pos="4680"/>
        <w:tab w:val="right" w:pos="9360"/>
      </w:tabs>
    </w:pPr>
  </w:style>
  <w:style w:type="character" w:customStyle="1" w:styleId="HeaderChar">
    <w:name w:val="Header Char"/>
    <w:basedOn w:val="DefaultParagraphFont"/>
    <w:link w:val="Header"/>
    <w:uiPriority w:val="99"/>
    <w:rsid w:val="009E714C"/>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15E81"/>
  </w:style>
  <w:style w:type="character" w:styleId="Hyperlink">
    <w:name w:val="Hyperlink"/>
    <w:basedOn w:val="DefaultParagraphFont"/>
    <w:uiPriority w:val="99"/>
    <w:unhideWhenUsed/>
    <w:rsid w:val="00684244"/>
    <w:rPr>
      <w:color w:val="467886" w:themeColor="hyperlink"/>
      <w:u w:val="single"/>
    </w:rPr>
  </w:style>
  <w:style w:type="character" w:styleId="UnresolvedMention">
    <w:name w:val="Unresolved Mention"/>
    <w:basedOn w:val="DefaultParagraphFont"/>
    <w:uiPriority w:val="99"/>
    <w:semiHidden/>
    <w:unhideWhenUsed/>
    <w:rsid w:val="00684244"/>
    <w:rPr>
      <w:color w:val="605E5C"/>
      <w:shd w:val="clear" w:color="auto" w:fill="E1DFDD"/>
    </w:rPr>
  </w:style>
  <w:style w:type="character" w:styleId="FollowedHyperlink">
    <w:name w:val="FollowedHyperlink"/>
    <w:basedOn w:val="DefaultParagraphFont"/>
    <w:uiPriority w:val="99"/>
    <w:semiHidden/>
    <w:unhideWhenUsed/>
    <w:rsid w:val="007476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1472">
      <w:bodyDiv w:val="1"/>
      <w:marLeft w:val="0"/>
      <w:marRight w:val="0"/>
      <w:marTop w:val="0"/>
      <w:marBottom w:val="0"/>
      <w:divBdr>
        <w:top w:val="none" w:sz="0" w:space="0" w:color="auto"/>
        <w:left w:val="none" w:sz="0" w:space="0" w:color="auto"/>
        <w:bottom w:val="none" w:sz="0" w:space="0" w:color="auto"/>
        <w:right w:val="none" w:sz="0" w:space="0" w:color="auto"/>
      </w:divBdr>
    </w:div>
    <w:div w:id="54665844">
      <w:bodyDiv w:val="1"/>
      <w:marLeft w:val="0"/>
      <w:marRight w:val="0"/>
      <w:marTop w:val="0"/>
      <w:marBottom w:val="0"/>
      <w:divBdr>
        <w:top w:val="none" w:sz="0" w:space="0" w:color="auto"/>
        <w:left w:val="none" w:sz="0" w:space="0" w:color="auto"/>
        <w:bottom w:val="none" w:sz="0" w:space="0" w:color="auto"/>
        <w:right w:val="none" w:sz="0" w:space="0" w:color="auto"/>
      </w:divBdr>
    </w:div>
    <w:div w:id="104614622">
      <w:bodyDiv w:val="1"/>
      <w:marLeft w:val="0"/>
      <w:marRight w:val="0"/>
      <w:marTop w:val="0"/>
      <w:marBottom w:val="0"/>
      <w:divBdr>
        <w:top w:val="none" w:sz="0" w:space="0" w:color="auto"/>
        <w:left w:val="none" w:sz="0" w:space="0" w:color="auto"/>
        <w:bottom w:val="none" w:sz="0" w:space="0" w:color="auto"/>
        <w:right w:val="none" w:sz="0" w:space="0" w:color="auto"/>
      </w:divBdr>
    </w:div>
    <w:div w:id="213277222">
      <w:bodyDiv w:val="1"/>
      <w:marLeft w:val="0"/>
      <w:marRight w:val="0"/>
      <w:marTop w:val="0"/>
      <w:marBottom w:val="0"/>
      <w:divBdr>
        <w:top w:val="none" w:sz="0" w:space="0" w:color="auto"/>
        <w:left w:val="none" w:sz="0" w:space="0" w:color="auto"/>
        <w:bottom w:val="none" w:sz="0" w:space="0" w:color="auto"/>
        <w:right w:val="none" w:sz="0" w:space="0" w:color="auto"/>
      </w:divBdr>
    </w:div>
    <w:div w:id="223565557">
      <w:bodyDiv w:val="1"/>
      <w:marLeft w:val="0"/>
      <w:marRight w:val="0"/>
      <w:marTop w:val="0"/>
      <w:marBottom w:val="0"/>
      <w:divBdr>
        <w:top w:val="none" w:sz="0" w:space="0" w:color="auto"/>
        <w:left w:val="none" w:sz="0" w:space="0" w:color="auto"/>
        <w:bottom w:val="none" w:sz="0" w:space="0" w:color="auto"/>
        <w:right w:val="none" w:sz="0" w:space="0" w:color="auto"/>
      </w:divBdr>
      <w:divsChild>
        <w:div w:id="2126993937">
          <w:marLeft w:val="0"/>
          <w:marRight w:val="0"/>
          <w:marTop w:val="0"/>
          <w:marBottom w:val="0"/>
          <w:divBdr>
            <w:top w:val="none" w:sz="0" w:space="0" w:color="auto"/>
            <w:left w:val="none" w:sz="0" w:space="0" w:color="auto"/>
            <w:bottom w:val="none" w:sz="0" w:space="0" w:color="auto"/>
            <w:right w:val="none" w:sz="0" w:space="0" w:color="auto"/>
          </w:divBdr>
          <w:divsChild>
            <w:div w:id="896668116">
              <w:marLeft w:val="0"/>
              <w:marRight w:val="0"/>
              <w:marTop w:val="0"/>
              <w:marBottom w:val="0"/>
              <w:divBdr>
                <w:top w:val="none" w:sz="0" w:space="0" w:color="auto"/>
                <w:left w:val="none" w:sz="0" w:space="0" w:color="auto"/>
                <w:bottom w:val="none" w:sz="0" w:space="0" w:color="auto"/>
                <w:right w:val="none" w:sz="0" w:space="0" w:color="auto"/>
              </w:divBdr>
              <w:divsChild>
                <w:div w:id="2101633996">
                  <w:marLeft w:val="0"/>
                  <w:marRight w:val="0"/>
                  <w:marTop w:val="0"/>
                  <w:marBottom w:val="0"/>
                  <w:divBdr>
                    <w:top w:val="none" w:sz="0" w:space="0" w:color="auto"/>
                    <w:left w:val="none" w:sz="0" w:space="0" w:color="auto"/>
                    <w:bottom w:val="none" w:sz="0" w:space="0" w:color="auto"/>
                    <w:right w:val="none" w:sz="0" w:space="0" w:color="auto"/>
                  </w:divBdr>
                  <w:divsChild>
                    <w:div w:id="3165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70512">
          <w:marLeft w:val="0"/>
          <w:marRight w:val="0"/>
          <w:marTop w:val="0"/>
          <w:marBottom w:val="0"/>
          <w:divBdr>
            <w:top w:val="none" w:sz="0" w:space="0" w:color="auto"/>
            <w:left w:val="none" w:sz="0" w:space="0" w:color="auto"/>
            <w:bottom w:val="none" w:sz="0" w:space="0" w:color="auto"/>
            <w:right w:val="none" w:sz="0" w:space="0" w:color="auto"/>
          </w:divBdr>
          <w:divsChild>
            <w:div w:id="1983149358">
              <w:marLeft w:val="0"/>
              <w:marRight w:val="0"/>
              <w:marTop w:val="0"/>
              <w:marBottom w:val="0"/>
              <w:divBdr>
                <w:top w:val="none" w:sz="0" w:space="0" w:color="auto"/>
                <w:left w:val="none" w:sz="0" w:space="0" w:color="auto"/>
                <w:bottom w:val="none" w:sz="0" w:space="0" w:color="auto"/>
                <w:right w:val="none" w:sz="0" w:space="0" w:color="auto"/>
              </w:divBdr>
              <w:divsChild>
                <w:div w:id="1372531011">
                  <w:marLeft w:val="0"/>
                  <w:marRight w:val="0"/>
                  <w:marTop w:val="0"/>
                  <w:marBottom w:val="0"/>
                  <w:divBdr>
                    <w:top w:val="none" w:sz="0" w:space="0" w:color="auto"/>
                    <w:left w:val="none" w:sz="0" w:space="0" w:color="auto"/>
                    <w:bottom w:val="none" w:sz="0" w:space="0" w:color="auto"/>
                    <w:right w:val="none" w:sz="0" w:space="0" w:color="auto"/>
                  </w:divBdr>
                  <w:divsChild>
                    <w:div w:id="16973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21825">
      <w:bodyDiv w:val="1"/>
      <w:marLeft w:val="0"/>
      <w:marRight w:val="0"/>
      <w:marTop w:val="0"/>
      <w:marBottom w:val="0"/>
      <w:divBdr>
        <w:top w:val="none" w:sz="0" w:space="0" w:color="auto"/>
        <w:left w:val="none" w:sz="0" w:space="0" w:color="auto"/>
        <w:bottom w:val="none" w:sz="0" w:space="0" w:color="auto"/>
        <w:right w:val="none" w:sz="0" w:space="0" w:color="auto"/>
      </w:divBdr>
    </w:div>
    <w:div w:id="355884052">
      <w:bodyDiv w:val="1"/>
      <w:marLeft w:val="0"/>
      <w:marRight w:val="0"/>
      <w:marTop w:val="0"/>
      <w:marBottom w:val="0"/>
      <w:divBdr>
        <w:top w:val="none" w:sz="0" w:space="0" w:color="auto"/>
        <w:left w:val="none" w:sz="0" w:space="0" w:color="auto"/>
        <w:bottom w:val="none" w:sz="0" w:space="0" w:color="auto"/>
        <w:right w:val="none" w:sz="0" w:space="0" w:color="auto"/>
      </w:divBdr>
      <w:divsChild>
        <w:div w:id="1577862791">
          <w:marLeft w:val="0"/>
          <w:marRight w:val="0"/>
          <w:marTop w:val="0"/>
          <w:marBottom w:val="0"/>
          <w:divBdr>
            <w:top w:val="none" w:sz="0" w:space="0" w:color="auto"/>
            <w:left w:val="none" w:sz="0" w:space="0" w:color="auto"/>
            <w:bottom w:val="none" w:sz="0" w:space="0" w:color="auto"/>
            <w:right w:val="none" w:sz="0" w:space="0" w:color="auto"/>
          </w:divBdr>
          <w:divsChild>
            <w:div w:id="168251657">
              <w:marLeft w:val="0"/>
              <w:marRight w:val="0"/>
              <w:marTop w:val="0"/>
              <w:marBottom w:val="0"/>
              <w:divBdr>
                <w:top w:val="none" w:sz="0" w:space="0" w:color="auto"/>
                <w:left w:val="none" w:sz="0" w:space="0" w:color="auto"/>
                <w:bottom w:val="none" w:sz="0" w:space="0" w:color="auto"/>
                <w:right w:val="none" w:sz="0" w:space="0" w:color="auto"/>
              </w:divBdr>
              <w:divsChild>
                <w:div w:id="944843973">
                  <w:marLeft w:val="0"/>
                  <w:marRight w:val="0"/>
                  <w:marTop w:val="0"/>
                  <w:marBottom w:val="0"/>
                  <w:divBdr>
                    <w:top w:val="none" w:sz="0" w:space="0" w:color="auto"/>
                    <w:left w:val="none" w:sz="0" w:space="0" w:color="auto"/>
                    <w:bottom w:val="none" w:sz="0" w:space="0" w:color="auto"/>
                    <w:right w:val="none" w:sz="0" w:space="0" w:color="auto"/>
                  </w:divBdr>
                  <w:divsChild>
                    <w:div w:id="694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0684">
          <w:marLeft w:val="0"/>
          <w:marRight w:val="0"/>
          <w:marTop w:val="0"/>
          <w:marBottom w:val="0"/>
          <w:divBdr>
            <w:top w:val="none" w:sz="0" w:space="0" w:color="auto"/>
            <w:left w:val="none" w:sz="0" w:space="0" w:color="auto"/>
            <w:bottom w:val="none" w:sz="0" w:space="0" w:color="auto"/>
            <w:right w:val="none" w:sz="0" w:space="0" w:color="auto"/>
          </w:divBdr>
          <w:divsChild>
            <w:div w:id="1070226694">
              <w:marLeft w:val="0"/>
              <w:marRight w:val="0"/>
              <w:marTop w:val="0"/>
              <w:marBottom w:val="0"/>
              <w:divBdr>
                <w:top w:val="none" w:sz="0" w:space="0" w:color="auto"/>
                <w:left w:val="none" w:sz="0" w:space="0" w:color="auto"/>
                <w:bottom w:val="none" w:sz="0" w:space="0" w:color="auto"/>
                <w:right w:val="none" w:sz="0" w:space="0" w:color="auto"/>
              </w:divBdr>
              <w:divsChild>
                <w:div w:id="1169903319">
                  <w:marLeft w:val="0"/>
                  <w:marRight w:val="0"/>
                  <w:marTop w:val="0"/>
                  <w:marBottom w:val="0"/>
                  <w:divBdr>
                    <w:top w:val="none" w:sz="0" w:space="0" w:color="auto"/>
                    <w:left w:val="none" w:sz="0" w:space="0" w:color="auto"/>
                    <w:bottom w:val="none" w:sz="0" w:space="0" w:color="auto"/>
                    <w:right w:val="none" w:sz="0" w:space="0" w:color="auto"/>
                  </w:divBdr>
                  <w:divsChild>
                    <w:div w:id="10151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61262">
      <w:bodyDiv w:val="1"/>
      <w:marLeft w:val="0"/>
      <w:marRight w:val="0"/>
      <w:marTop w:val="0"/>
      <w:marBottom w:val="0"/>
      <w:divBdr>
        <w:top w:val="none" w:sz="0" w:space="0" w:color="auto"/>
        <w:left w:val="none" w:sz="0" w:space="0" w:color="auto"/>
        <w:bottom w:val="none" w:sz="0" w:space="0" w:color="auto"/>
        <w:right w:val="none" w:sz="0" w:space="0" w:color="auto"/>
      </w:divBdr>
    </w:div>
    <w:div w:id="693045326">
      <w:bodyDiv w:val="1"/>
      <w:marLeft w:val="0"/>
      <w:marRight w:val="0"/>
      <w:marTop w:val="0"/>
      <w:marBottom w:val="0"/>
      <w:divBdr>
        <w:top w:val="none" w:sz="0" w:space="0" w:color="auto"/>
        <w:left w:val="none" w:sz="0" w:space="0" w:color="auto"/>
        <w:bottom w:val="none" w:sz="0" w:space="0" w:color="auto"/>
        <w:right w:val="none" w:sz="0" w:space="0" w:color="auto"/>
      </w:divBdr>
    </w:div>
    <w:div w:id="765659057">
      <w:bodyDiv w:val="1"/>
      <w:marLeft w:val="0"/>
      <w:marRight w:val="0"/>
      <w:marTop w:val="0"/>
      <w:marBottom w:val="0"/>
      <w:divBdr>
        <w:top w:val="none" w:sz="0" w:space="0" w:color="auto"/>
        <w:left w:val="none" w:sz="0" w:space="0" w:color="auto"/>
        <w:bottom w:val="none" w:sz="0" w:space="0" w:color="auto"/>
        <w:right w:val="none" w:sz="0" w:space="0" w:color="auto"/>
      </w:divBdr>
    </w:div>
    <w:div w:id="806050603">
      <w:bodyDiv w:val="1"/>
      <w:marLeft w:val="0"/>
      <w:marRight w:val="0"/>
      <w:marTop w:val="0"/>
      <w:marBottom w:val="0"/>
      <w:divBdr>
        <w:top w:val="none" w:sz="0" w:space="0" w:color="auto"/>
        <w:left w:val="none" w:sz="0" w:space="0" w:color="auto"/>
        <w:bottom w:val="none" w:sz="0" w:space="0" w:color="auto"/>
        <w:right w:val="none" w:sz="0" w:space="0" w:color="auto"/>
      </w:divBdr>
    </w:div>
    <w:div w:id="905844705">
      <w:bodyDiv w:val="1"/>
      <w:marLeft w:val="0"/>
      <w:marRight w:val="0"/>
      <w:marTop w:val="0"/>
      <w:marBottom w:val="0"/>
      <w:divBdr>
        <w:top w:val="none" w:sz="0" w:space="0" w:color="auto"/>
        <w:left w:val="none" w:sz="0" w:space="0" w:color="auto"/>
        <w:bottom w:val="none" w:sz="0" w:space="0" w:color="auto"/>
        <w:right w:val="none" w:sz="0" w:space="0" w:color="auto"/>
      </w:divBdr>
    </w:div>
    <w:div w:id="1077098469">
      <w:bodyDiv w:val="1"/>
      <w:marLeft w:val="0"/>
      <w:marRight w:val="0"/>
      <w:marTop w:val="0"/>
      <w:marBottom w:val="0"/>
      <w:divBdr>
        <w:top w:val="none" w:sz="0" w:space="0" w:color="auto"/>
        <w:left w:val="none" w:sz="0" w:space="0" w:color="auto"/>
        <w:bottom w:val="none" w:sz="0" w:space="0" w:color="auto"/>
        <w:right w:val="none" w:sz="0" w:space="0" w:color="auto"/>
      </w:divBdr>
    </w:div>
    <w:div w:id="1083406742">
      <w:bodyDiv w:val="1"/>
      <w:marLeft w:val="0"/>
      <w:marRight w:val="0"/>
      <w:marTop w:val="0"/>
      <w:marBottom w:val="0"/>
      <w:divBdr>
        <w:top w:val="none" w:sz="0" w:space="0" w:color="auto"/>
        <w:left w:val="none" w:sz="0" w:space="0" w:color="auto"/>
        <w:bottom w:val="none" w:sz="0" w:space="0" w:color="auto"/>
        <w:right w:val="none" w:sz="0" w:space="0" w:color="auto"/>
      </w:divBdr>
    </w:div>
    <w:div w:id="1155100668">
      <w:bodyDiv w:val="1"/>
      <w:marLeft w:val="0"/>
      <w:marRight w:val="0"/>
      <w:marTop w:val="0"/>
      <w:marBottom w:val="0"/>
      <w:divBdr>
        <w:top w:val="none" w:sz="0" w:space="0" w:color="auto"/>
        <w:left w:val="none" w:sz="0" w:space="0" w:color="auto"/>
        <w:bottom w:val="none" w:sz="0" w:space="0" w:color="auto"/>
        <w:right w:val="none" w:sz="0" w:space="0" w:color="auto"/>
      </w:divBdr>
    </w:div>
    <w:div w:id="1249003222">
      <w:bodyDiv w:val="1"/>
      <w:marLeft w:val="0"/>
      <w:marRight w:val="0"/>
      <w:marTop w:val="0"/>
      <w:marBottom w:val="0"/>
      <w:divBdr>
        <w:top w:val="none" w:sz="0" w:space="0" w:color="auto"/>
        <w:left w:val="none" w:sz="0" w:space="0" w:color="auto"/>
        <w:bottom w:val="none" w:sz="0" w:space="0" w:color="auto"/>
        <w:right w:val="none" w:sz="0" w:space="0" w:color="auto"/>
      </w:divBdr>
    </w:div>
    <w:div w:id="1468668125">
      <w:bodyDiv w:val="1"/>
      <w:marLeft w:val="0"/>
      <w:marRight w:val="0"/>
      <w:marTop w:val="0"/>
      <w:marBottom w:val="0"/>
      <w:divBdr>
        <w:top w:val="none" w:sz="0" w:space="0" w:color="auto"/>
        <w:left w:val="none" w:sz="0" w:space="0" w:color="auto"/>
        <w:bottom w:val="none" w:sz="0" w:space="0" w:color="auto"/>
        <w:right w:val="none" w:sz="0" w:space="0" w:color="auto"/>
      </w:divBdr>
    </w:div>
    <w:div w:id="1472363211">
      <w:bodyDiv w:val="1"/>
      <w:marLeft w:val="0"/>
      <w:marRight w:val="0"/>
      <w:marTop w:val="0"/>
      <w:marBottom w:val="0"/>
      <w:divBdr>
        <w:top w:val="none" w:sz="0" w:space="0" w:color="auto"/>
        <w:left w:val="none" w:sz="0" w:space="0" w:color="auto"/>
        <w:bottom w:val="none" w:sz="0" w:space="0" w:color="auto"/>
        <w:right w:val="none" w:sz="0" w:space="0" w:color="auto"/>
      </w:divBdr>
    </w:div>
    <w:div w:id="1698307979">
      <w:bodyDiv w:val="1"/>
      <w:marLeft w:val="0"/>
      <w:marRight w:val="0"/>
      <w:marTop w:val="0"/>
      <w:marBottom w:val="0"/>
      <w:divBdr>
        <w:top w:val="none" w:sz="0" w:space="0" w:color="auto"/>
        <w:left w:val="none" w:sz="0" w:space="0" w:color="auto"/>
        <w:bottom w:val="none" w:sz="0" w:space="0" w:color="auto"/>
        <w:right w:val="none" w:sz="0" w:space="0" w:color="auto"/>
      </w:divBdr>
    </w:div>
    <w:div w:id="1795827580">
      <w:bodyDiv w:val="1"/>
      <w:marLeft w:val="0"/>
      <w:marRight w:val="0"/>
      <w:marTop w:val="0"/>
      <w:marBottom w:val="0"/>
      <w:divBdr>
        <w:top w:val="none" w:sz="0" w:space="0" w:color="auto"/>
        <w:left w:val="none" w:sz="0" w:space="0" w:color="auto"/>
        <w:bottom w:val="none" w:sz="0" w:space="0" w:color="auto"/>
        <w:right w:val="none" w:sz="0" w:space="0" w:color="auto"/>
      </w:divBdr>
    </w:div>
    <w:div w:id="1905331534">
      <w:bodyDiv w:val="1"/>
      <w:marLeft w:val="0"/>
      <w:marRight w:val="0"/>
      <w:marTop w:val="0"/>
      <w:marBottom w:val="0"/>
      <w:divBdr>
        <w:top w:val="none" w:sz="0" w:space="0" w:color="auto"/>
        <w:left w:val="none" w:sz="0" w:space="0" w:color="auto"/>
        <w:bottom w:val="none" w:sz="0" w:space="0" w:color="auto"/>
        <w:right w:val="none" w:sz="0" w:space="0" w:color="auto"/>
      </w:divBdr>
    </w:div>
    <w:div w:id="1941641256">
      <w:bodyDiv w:val="1"/>
      <w:marLeft w:val="0"/>
      <w:marRight w:val="0"/>
      <w:marTop w:val="0"/>
      <w:marBottom w:val="0"/>
      <w:divBdr>
        <w:top w:val="none" w:sz="0" w:space="0" w:color="auto"/>
        <w:left w:val="none" w:sz="0" w:space="0" w:color="auto"/>
        <w:bottom w:val="none" w:sz="0" w:space="0" w:color="auto"/>
        <w:right w:val="none" w:sz="0" w:space="0" w:color="auto"/>
      </w:divBdr>
      <w:divsChild>
        <w:div w:id="514416119">
          <w:marLeft w:val="0"/>
          <w:marRight w:val="0"/>
          <w:marTop w:val="0"/>
          <w:marBottom w:val="0"/>
          <w:divBdr>
            <w:top w:val="none" w:sz="0" w:space="0" w:color="auto"/>
            <w:left w:val="none" w:sz="0" w:space="0" w:color="auto"/>
            <w:bottom w:val="none" w:sz="0" w:space="0" w:color="auto"/>
            <w:right w:val="none" w:sz="0" w:space="0" w:color="auto"/>
          </w:divBdr>
          <w:divsChild>
            <w:div w:id="20738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doi.org/10.1146/annurev-marine-120408-15145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02/joc.1169"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29/2022gl10107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1038/ngeo25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17/CBO9780511612336"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1029/97gl03092" TargetMode="External"/><Relationship Id="rId10" Type="http://schemas.openxmlformats.org/officeDocument/2006/relationships/image" Target="media/image2.png"/><Relationship Id="rId19" Type="http://schemas.openxmlformats.org/officeDocument/2006/relationships/hyperlink" Target="https://ggweather.com/enso/oni.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sl.noaa.gov/data/correlation/nina34.da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Luo</dc:creator>
  <cp:keywords/>
  <dc:description/>
  <cp:lastModifiedBy>Yifan Luo</cp:lastModifiedBy>
  <cp:revision>1</cp:revision>
  <dcterms:created xsi:type="dcterms:W3CDTF">2025-02-06T02:12:00Z</dcterms:created>
  <dcterms:modified xsi:type="dcterms:W3CDTF">2025-02-06T04:58:00Z</dcterms:modified>
</cp:coreProperties>
</file>