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2119E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HydroTune: LLM-Agent-Guided Automatic Calibration and Deep Learning Error Correction for Modular Hydrological Models</w:t>
      </w:r>
    </w:p>
    <w:p w14:paraId="6908083F">
      <w:pPr>
        <w:spacing w:line="240" w:lineRule="auto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</w:p>
    <w:p w14:paraId="5941EDC6">
      <w:pPr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Abstract</w:t>
      </w:r>
    </w:p>
    <w:p w14:paraId="47597628">
      <w:pPr>
        <w:spacing w:line="24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Conceptual hydrological models require labor-intensive manual calibration. We present HydroTune, an LLM-agent-guided platform automating the end-to-end workflow from raw data to intelligent diagnostic reports. The system integrates a flood semantic encoder, five optimization algorithms (Two-Stage, PSO, SCE-UA, DE, GA) for three hydrological models (Tank, HBV, Xinanjiang), and XGBoost-based error correction. Validated on two contrasting case studies with 3 and 57 events, HydroTune bridges AI and operational hydrology for non-expert users.</w:t>
      </w:r>
    </w:p>
    <w:p w14:paraId="1FA32D60">
      <w:pPr>
        <w:spacing w:line="240" w:lineRule="auto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</w:p>
    <w:p w14:paraId="2F78ACE4">
      <w:pPr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1  Introduction</w:t>
      </w:r>
    </w:p>
    <w:p w14:paraId="0F3C22A3">
      <w:pPr>
        <w:numPr>
          <w:ilvl w:val="0"/>
          <w:numId w:val="1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Conceptual models (Tank, HBV, Xinanjiang) contain 3–21 parameters requiring calibration. Manual calibration is expert-intensive, time-consuming, and often inconsistent across operators. </w:t>
      </w:r>
    </w:p>
    <w:p w14:paraId="3151A3B6">
      <w:pPr>
        <w:numPr>
          <w:ilvl w:val="0"/>
          <w:numId w:val="1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Tools like PEST, OSTRICH, and SWAT-CUP provide optimization frameworks but lack intelligent data analysis, multi-model comparison, and actionable diagnostic reporting. </w:t>
      </w:r>
    </w:p>
    <w:p w14:paraId="1862AF7B">
      <w:pPr>
        <w:numPr>
          <w:ilvl w:val="0"/>
          <w:numId w:val="1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Recent advances in LLMs (GPT-4, Minimax) open new possibilities for intelligent data interpretation, but their application in hydrology remains nascent—mainly limited to literature review and code generation.</w:t>
      </w:r>
    </w:p>
    <w:p w14:paraId="4ED89FFC">
      <w:pPr>
        <w:numPr>
          <w:ilvl w:val="0"/>
          <w:numId w:val="1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Despite their impressive reasoning capabilities, LLMs are inherently token-based sequence models that operate on discrete text inputs with constrained context windows (typically 8K–128K tokens). Raw flood hydrograph data presents three fundamental challenges for direct LLM ingestion:</w:t>
      </w:r>
    </w:p>
    <w:p w14:paraId="0F218824">
      <w:pPr>
        <w:numPr>
          <w:ilvl w:val="1"/>
          <w:numId w:val="1"/>
        </w:numPr>
        <w:spacing w:line="240" w:lineRule="auto"/>
        <w:ind w:left="840" w:leftChars="0" w:hanging="420" w:firstLineChars="0"/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 xml:space="preserve"> (i) scale mismatch—a single flood event may span hundreds to thousands of time steps, exceeding practical token budgets while losing statistical coherence when naively truncated; </w:t>
      </w:r>
    </w:p>
    <w:p w14:paraId="59708CD8">
      <w:pPr>
        <w:numPr>
          <w:ilvl w:val="1"/>
          <w:numId w:val="1"/>
        </w:numPr>
        <w:spacing w:line="240" w:lineRule="auto"/>
        <w:ind w:left="840" w:leftChars="0" w:hanging="420" w:firstLineChars="0"/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(ii)</w:t>
      </w: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 xml:space="preserve">numerical reasoning deficiency—LLMs exhibit well-documented degradation in numerical computation and quantitative trend analysis from raw tabular data, often hallucinating spurious statistical relationships; </w:t>
      </w:r>
    </w:p>
    <w:p w14:paraId="2DA383CA">
      <w:pPr>
        <w:numPr>
          <w:ilvl w:val="1"/>
          <w:numId w:val="1"/>
        </w:numPr>
        <w:spacing w:line="240" w:lineRule="auto"/>
        <w:ind w:left="840" w:leftChars="0" w:hanging="420" w:firstLineChars="0"/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 xml:space="preserve">(iii) semantic abstraction gap—hydrologically meaningful concepts such as "rapid rising limb," "sharp peak," or "prolonged recession" are not directly encoded in numerical flow/precipitation vectors, requiring domain-specific feature engineering to render them legible to language models. </w:t>
      </w:r>
    </w:p>
    <w:p w14:paraId="583D6470">
      <w:pPr>
        <w:numPr>
          <w:ilvl w:val="0"/>
          <w:numId w:val="0"/>
        </w:numPr>
        <w:spacing w:line="240" w:lineRule="auto"/>
        <w:ind w:left="420" w:leftChars="0"/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These limitations motivate the need for a structured intermediate representation—a semantic encoding—that distills raw time-series data into compact, linguistically accessible, and hydrologically informative feature vectors before presenting them to the LLM agent.</w:t>
      </w:r>
    </w:p>
    <w:p w14:paraId="56A23133">
      <w:pPr>
        <w:numPr>
          <w:ilvl w:val="0"/>
          <w:numId w:val="1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Conceptual hydrological models, despite their parsimonious parameterization and physical interpretability, exhibit inherent structural limitations:</w:t>
      </w:r>
    </w:p>
    <w:p w14:paraId="0BFB4589">
      <w:pPr>
        <w:numPr>
          <w:ilvl w:val="1"/>
          <w:numId w:val="1"/>
        </w:numPr>
        <w:spacing w:line="240" w:lineRule="auto"/>
        <w:ind w:left="840" w:leftChars="0" w:hanging="420" w:firstLineChars="0"/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 xml:space="preserve"> (i) simplified process representation—lumped or semi-distributed parameterizations (e.g., single-valued soil moisture capacity, linear reservoir routing) cannot fully resolve the spatiotemporal heterogeneity of real catchments, leading to systematic biases in peak timing, magnitude, and recession behavior; </w:t>
      </w:r>
    </w:p>
    <w:p w14:paraId="366BC341">
      <w:pPr>
        <w:numPr>
          <w:ilvl w:val="1"/>
          <w:numId w:val="1"/>
        </w:numPr>
        <w:spacing w:line="240" w:lineRule="auto"/>
        <w:ind w:left="840" w:leftChars="0" w:hanging="420" w:firstLineChars="0"/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(ii) stationarity assumption—calibrated parameter sets implicitly assume stationary rainfall–runoff relationships, whereas real watersheds undergo non-stationary changes (land-use alteration, climate variability, reservoir regulation) that degrade model performance over time;</w:t>
      </w:r>
    </w:p>
    <w:p w14:paraId="396C1C74">
      <w:pPr>
        <w:numPr>
          <w:ilvl w:val="1"/>
          <w:numId w:val="1"/>
        </w:numPr>
        <w:spacing w:line="240" w:lineRule="auto"/>
        <w:ind w:left="840" w:leftChars="0" w:hanging="420" w:firstLineChars="0"/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 xml:space="preserve"> (iii) residual information—even well-calibrated models leave structured residuals in the simulated-minus-observed error time series that carry exploitable information about unmodeled processes.</w:t>
      </w:r>
    </w:p>
    <w:p w14:paraId="4A5DC6F5">
      <w:pPr>
        <w:numPr>
          <w:ilvl w:val="0"/>
          <w:numId w:val="1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Data-driven error correction models (e.g., XGBoost, LSTM) offer complementary capabilities: they can learn complex, nonlinear mapping from predictor features (error lags, precipitation lags) to model residuals without specifying physical equations; they adapt to non-stationary patterns when retrained on recent observations; and they operate as post-processors that preserve the physical model's core hydrological constraints (water balance, process causality) rather than replacing them with a black-box. A growing body of literature demonstrates that hybrid approaches—conceptual model + ML residual learner—consistently outperform either component alone, particularly for flood peak prediction where structural errors are most consequential.</w:t>
      </w:r>
    </w:p>
    <w:p w14:paraId="6D738C52">
      <w:pPr>
        <w:numPr>
          <w:ilvl w:val="0"/>
          <w:numId w:val="1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Despite the demonstrated efficacy of hybrid physics-ML approaches in research settings (custom Python/R scripts, offline case studies), no existing operational calibration platform integrates ML-based error correction as a native, configurable module within an automated calibration workflow. Current tools (PEST, SWAT-CUP, OSTRICH) neither couple model residuals with ML post-processors nor provide the event-based train/validation split logic required to prevent data leakage in operational forecasting contexts. Closing this gap is critical for translating hybrid modeling research into actionable decision-support tools for flood forecasting agencies and water resource managers.</w:t>
      </w:r>
    </w:p>
    <w:p w14:paraId="41DF0099">
      <w:pPr>
        <w:numPr>
          <w:ilvl w:val="0"/>
          <w:numId w:val="1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Main contribution:</w:t>
      </w:r>
    </w:p>
    <w:p w14:paraId="2FDEC92E">
      <w:pPr>
        <w:numPr>
          <w:ilvl w:val="1"/>
          <w:numId w:val="1"/>
        </w:numPr>
        <w:spacing w:line="240" w:lineRule="auto"/>
        <w:ind w:left="840" w:leftChars="0" w:hanging="420" w:firstLineChars="0"/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We propose a novel flood semantic encoding paradigm that transforms raw hydrograph time series into structured, multi-attribute representations (magnitude, peak morphology, rise/recession dynamics, rainfall forcing), thereby bridging the modality gap between numerical hydrological data and LLM-based reasoning—to our knowledge, the first such encoding scheme designed explicitly for LLM-agent-guided hydrological analysis.</w:t>
      </w:r>
    </w:p>
    <w:p w14:paraId="29DE4ACF">
      <w:pPr>
        <w:numPr>
          <w:ilvl w:val="1"/>
          <w:numId w:val="1"/>
        </w:numPr>
        <w:spacing w:line="240" w:lineRule="auto"/>
        <w:ind w:left="840" w:leftChars="0" w:hanging="420" w:firstLineChars="0"/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We develop a unified multi-model, multi-algorithm calibration framework that integrates three conceptual hydrological models of varying complexity (Tank: 3 parameters; HBV: 10 parameters; Xinanjiang: 21 parameters) with five global optimization algorithms (Two-Stage, PSO, SCE-UA, DE, GA) under a single abstract interface, enabling systematic model intercomparison and algorithm benchmarking within an operational context.</w:t>
      </w:r>
    </w:p>
    <w:p w14:paraId="65F7CAD1">
      <w:pPr>
        <w:numPr>
          <w:ilvl w:val="1"/>
          <w:numId w:val="1"/>
        </w:numPr>
        <w:spacing w:line="240" w:lineRule="auto"/>
        <w:ind w:left="840" w:leftChars="0" w:hanging="420" w:firstLineChars="0"/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We introduce a hybrid physics-ML error correction architecture wherein an XGBoost regressor, trained on error-lag (e</w:t>
      </w:r>
      <w:r>
        <w:rPr>
          <w:rFonts w:hint="default" w:ascii="Times New Roman" w:hAnsi="Times New Roman" w:cs="Times New Roman"/>
          <w:i/>
          <w:iCs/>
          <w:sz w:val="21"/>
          <w:szCs w:val="21"/>
          <w:vertAlign w:val="subscript"/>
          <w:lang w:val="en-US" w:eastAsia="zh-CN"/>
        </w:rPr>
        <w:t>t-1</w:t>
      </w: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, ..., e</w:t>
      </w:r>
      <w:r>
        <w:rPr>
          <w:rFonts w:hint="default" w:ascii="Times New Roman" w:hAnsi="Times New Roman" w:cs="Times New Roman"/>
          <w:i/>
          <w:iCs/>
          <w:sz w:val="21"/>
          <w:szCs w:val="21"/>
          <w:vertAlign w:val="subscript"/>
          <w:lang w:val="en-US" w:eastAsia="zh-CN"/>
        </w:rPr>
        <w:t>t-5</w:t>
      </w: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) and precipitation-lag (p</w:t>
      </w:r>
      <w:r>
        <w:rPr>
          <w:rFonts w:hint="default" w:ascii="Times New Roman" w:hAnsi="Times New Roman" w:cs="Times New Roman"/>
          <w:i/>
          <w:iCs/>
          <w:sz w:val="21"/>
          <w:szCs w:val="21"/>
          <w:vertAlign w:val="subscript"/>
          <w:lang w:val="en-US" w:eastAsia="zh-CN"/>
        </w:rPr>
        <w:t>t-1</w:t>
      </w: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, ..., p</w:t>
      </w:r>
      <w:r>
        <w:rPr>
          <w:rFonts w:hint="default" w:ascii="Times New Roman" w:hAnsi="Times New Roman" w:cs="Times New Roman"/>
          <w:i/>
          <w:iCs/>
          <w:sz w:val="21"/>
          <w:szCs w:val="21"/>
          <w:vertAlign w:val="subscript"/>
          <w:lang w:val="en-US" w:eastAsia="zh-CN"/>
        </w:rPr>
        <w:t>t-3</w:t>
      </w: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) features, learns the systematic residuals of conceptual model simulations; the approach is validated under an event-based train/test split strategy that prevents temporal leakage across flood events, and is benchmarked against both recursive and oracle correction modes.</w:t>
      </w:r>
    </w:p>
    <w:p w14:paraId="145A7B62">
      <w:pPr>
        <w:numPr>
          <w:ilvl w:val="1"/>
          <w:numId w:val="1"/>
        </w:numPr>
        <w:spacing w:line="240" w:lineRule="auto"/>
        <w:ind w:left="840" w:leftChars="0" w:hanging="420" w:firstLineChars="0"/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We deliver a fully operational, open-source software platform (HydroTune) with a Streamlit-based graphical interface, bilingual (Chinese/English) support, and LLM-generated intelligent diagnostic reports that span data pre-analysis, calibration evaluation, and model selection recommendations—demonstrating the feasibility of AI-augmented decision support for non-expert hydrological practitioners</w:t>
      </w:r>
    </w:p>
    <w:p w14:paraId="3953B436">
      <w:pPr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2  Methodology</w:t>
      </w:r>
    </w:p>
    <w:p w14:paraId="56136A04">
      <w:pPr>
        <w:spacing w:line="240" w:lineRule="auto"/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 w:eastAsia="zh-CN"/>
        </w:rPr>
        <w:t>2.1  LLM-based agentic workflow</w:t>
      </w:r>
    </w:p>
    <w:p w14:paraId="69A2A9D1">
      <w:pPr>
        <w:numPr>
          <w:ilvl w:val="0"/>
          <w:numId w:val="2"/>
        </w:numPr>
        <w:spacing w:line="240" w:lineRule="auto"/>
        <w:ind w:left="840" w:leftChars="0" w:hanging="420" w:firstLineChars="0"/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A lightweight orchestration module that chains: data ingestion → model registration → multi-model calibration → performance ranking → report triggers.</w:t>
      </w:r>
    </w:p>
    <w:p w14:paraId="46224617">
      <w:pPr>
        <w:numPr>
          <w:ilvl w:val="0"/>
          <w:numId w:val="2"/>
        </w:numPr>
        <w:spacing w:line="240" w:lineRule="auto"/>
        <w:ind w:left="840" w:leftChars="0" w:hanging="420" w:firstLineChars="0"/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 xml:space="preserve">The LLM is invoked at three critical junctures: </w:t>
      </w:r>
    </w:p>
    <w:p w14:paraId="7FAD3840">
      <w:pPr>
        <w:numPr>
          <w:ilvl w:val="1"/>
          <w:numId w:val="2"/>
        </w:numPr>
        <w:tabs>
          <w:tab w:val="clear" w:pos="840"/>
        </w:tabs>
        <w:spacing w:line="240" w:lineRule="auto"/>
        <w:ind w:left="1260" w:leftChars="0" w:hanging="420" w:firstLineChars="0"/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 xml:space="preserve">(a) data quality assessment and time-scale inference, </w:t>
      </w:r>
    </w:p>
    <w:p w14:paraId="67271132">
      <w:pPr>
        <w:numPr>
          <w:ilvl w:val="1"/>
          <w:numId w:val="2"/>
        </w:numPr>
        <w:tabs>
          <w:tab w:val="clear" w:pos="840"/>
        </w:tabs>
        <w:spacing w:line="240" w:lineRule="auto"/>
        <w:ind w:left="1260" w:leftChars="0" w:hanging="420" w:firstLineChars="0"/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 xml:space="preserve">(b) flood event detection and semantic characterization, </w:t>
      </w:r>
    </w:p>
    <w:p w14:paraId="3B67A09F">
      <w:pPr>
        <w:numPr>
          <w:ilvl w:val="1"/>
          <w:numId w:val="2"/>
        </w:numPr>
        <w:tabs>
          <w:tab w:val="clear" w:pos="840"/>
        </w:tabs>
        <w:spacing w:line="240" w:lineRule="auto"/>
        <w:ind w:left="1260" w:leftChars="0" w:hanging="420" w:firstLineChars="0"/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(c) diagnostic report generation with calibration strategy recommendations.</w:t>
      </w:r>
    </w:p>
    <w:p w14:paraId="6658CED6">
      <w:pPr>
        <w:numPr>
          <w:ilvl w:val="0"/>
          <w:numId w:val="2"/>
        </w:numPr>
        <w:spacing w:line="240" w:lineRule="auto"/>
        <w:ind w:left="840" w:leftChars="0" w:hanging="420" w:firstLineChars="0"/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The LLM acts as an intelligent analyst rather than a code executor; it receives structured semantic codes and data quality metrics, then produces structured diagnostic reports following a standardized template</w:t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 w:eastAsia="zh-CN"/>
        </w:rPr>
        <w:t>Markdown reports</w:t>
      </w: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 xml:space="preserve"> following a 7-section template prompt.</w:t>
      </w:r>
    </w:p>
    <w:p w14:paraId="70FCB8EA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</w:pPr>
    </w:p>
    <w:p w14:paraId="12981929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drawing>
          <wp:inline distT="0" distB="0" distL="114300" distR="114300">
            <wp:extent cx="5580380" cy="3062605"/>
            <wp:effectExtent l="0" t="0" r="1270" b="4445"/>
            <wp:docPr id="1" name="图片 1" descr="ChatGPT Image 2026年5月24日 20_13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hatGPT Image 2026年5月24日 20_13_4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4ABD">
      <w:pPr>
        <w:numPr>
          <w:ilvl w:val="0"/>
          <w:numId w:val="0"/>
        </w:numPr>
        <w:spacing w:line="240" w:lineRule="auto"/>
        <w:ind w:left="420" w:leftChars="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FF"/>
          <w:sz w:val="18"/>
          <w:szCs w:val="1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FF"/>
          <w:sz w:val="18"/>
          <w:szCs w:val="18"/>
          <w:lang w:val="en-US" w:eastAsia="zh-CN"/>
        </w:rPr>
        <w:t>[Figure 1] Workflow diagram of the agent-driven calibration workflow: data ingestion, LLM-triggered pre-analysis, semantic encoding, multi-algorithm calibration, and diagnostic report generation.</w:t>
      </w:r>
    </w:p>
    <w:p w14:paraId="276EB142">
      <w:pPr>
        <w:numPr>
          <w:ilvl w:val="0"/>
          <w:numId w:val="0"/>
        </w:numPr>
        <w:spacing w:line="240" w:lineRule="auto"/>
        <w:ind w:left="420" w:leftChars="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FF"/>
          <w:sz w:val="21"/>
          <w:szCs w:val="21"/>
          <w:lang w:val="en-US" w:eastAsia="zh-CN"/>
        </w:rPr>
      </w:pPr>
    </w:p>
    <w:p w14:paraId="4E9466C8">
      <w:pPr>
        <w:spacing w:line="240" w:lineRule="auto"/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 w:eastAsia="zh-CN"/>
        </w:rPr>
        <w:t>2.2  Semantic encoding of flood events for LLM agents</w:t>
      </w:r>
    </w:p>
    <w:p w14:paraId="35335D07">
      <w:pPr>
        <w:numPr>
          <w:ilvl w:val="0"/>
          <w:numId w:val="3"/>
        </w:numPr>
        <w:spacing w:line="24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Raw hydrograph time-series data (hundreds to thousands of time steps) cannot be directly consumed by LLMs due to context-window constraints and numerical reasoning limitations. A structured intermediate representation is required.</w:t>
      </w:r>
    </w:p>
    <w:p w14:paraId="784DE8E8">
      <w:pPr>
        <w:numPr>
          <w:ilvl w:val="0"/>
          <w:numId w:val="3"/>
        </w:numPr>
        <w:spacing w:line="240" w:lineRule="auto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A structured record with 15 semantic fields captures each flood event: event_id, magnitude (extreme/large/medium/small), peak_flow, flood_volume, duration, rise_type (rapid/moderate/slow), recession_type, peak_shape (sharp/rounded/multi-peak), rainfall_driven (high/medium/low), representative_score, selection_reason, start_date, end_date, baseflow, peak_ratio, and total_precip. [Table 1]</w:t>
      </w:r>
    </w:p>
    <w:p w14:paraId="2AB6C7C7">
      <w:pPr>
        <w:numPr>
          <w:ilvl w:val="0"/>
          <w:numId w:val="3"/>
        </w:numPr>
        <w:spacing w:line="24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Each semantic attribute is derived from the flow time series Q(t) (t=1,…,T) and precipitation time series P(t) via well-defined hydrological heuristics. The baseflow Q</w:t>
      </w:r>
      <w:r>
        <w:rPr>
          <w:rFonts w:hint="default" w:ascii="Times New Roman" w:hAnsi="Times New Roman" w:eastAsia="Times New Roman" w:cs="Times New Roman"/>
          <w:i/>
          <w:iCs/>
          <w:sz w:val="21"/>
          <w:szCs w:val="21"/>
          <w:vertAlign w:val="subscript"/>
        </w:rPr>
        <w:t>base</w:t>
      </w: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 xml:space="preserve"> is estimated as the mean of a rolling 5-step minimum filter. The flood event window spans from start index t_s to end index t_e, with t_p denoting the time index of peak flow. Magnitude classification: extreme if Q</w:t>
      </w:r>
      <w:r>
        <w:rPr>
          <w:rFonts w:hint="default" w:ascii="Times New Roman" w:hAnsi="Times New Roman" w:eastAsia="Times New Roman" w:cs="Times New Roman"/>
          <w:i/>
          <w:iCs/>
          <w:sz w:val="21"/>
          <w:szCs w:val="21"/>
          <w:vertAlign w:val="subscript"/>
        </w:rPr>
        <w:t>peak</w:t>
      </w: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 xml:space="preserve"> &gt; Q̄</w:t>
      </w:r>
      <w:r>
        <w:rPr>
          <w:rFonts w:hint="default" w:ascii="Times New Roman" w:hAnsi="Times New Roman" w:eastAsia="Times New Roman" w:cs="Times New Roman"/>
          <w:i/>
          <w:iCs/>
          <w:sz w:val="21"/>
          <w:szCs w:val="21"/>
          <w:vertAlign w:val="subscript"/>
        </w:rPr>
        <w:t xml:space="preserve">peak </w:t>
      </w: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+ 2·σ</w:t>
      </w:r>
      <w:r>
        <w:rPr>
          <w:rFonts w:hint="default" w:ascii="Times New Roman" w:hAnsi="Times New Roman" w:eastAsia="Times New Roman" w:cs="Times New Roman"/>
          <w:i/>
          <w:iCs/>
          <w:sz w:val="21"/>
          <w:szCs w:val="21"/>
          <w:vertAlign w:val="subscript"/>
        </w:rPr>
        <w:t>peak</w:t>
      </w: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 xml:space="preserve">, large if &gt; </w:t>
      </w: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Q̄</w:t>
      </w:r>
      <w:r>
        <w:rPr>
          <w:rFonts w:hint="default" w:ascii="Times New Roman" w:hAnsi="Times New Roman" w:eastAsia="Times New Roman" w:cs="Times New Roman"/>
          <w:i/>
          <w:iCs/>
          <w:sz w:val="21"/>
          <w:szCs w:val="21"/>
          <w:vertAlign w:val="subscript"/>
        </w:rPr>
        <w:t>peak</w:t>
      </w: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 xml:space="preserve"> + </w:t>
      </w: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σ</w:t>
      </w:r>
      <w:r>
        <w:rPr>
          <w:rFonts w:hint="default" w:ascii="Times New Roman" w:hAnsi="Times New Roman" w:eastAsia="Times New Roman" w:cs="Times New Roman"/>
          <w:i/>
          <w:iCs/>
          <w:sz w:val="21"/>
          <w:szCs w:val="21"/>
          <w:vertAlign w:val="subscript"/>
        </w:rPr>
        <w:t>peak</w:t>
      </w: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 xml:space="preserve">, medium if &gt; </w:t>
      </w: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Q̄</w:t>
      </w:r>
      <w:r>
        <w:rPr>
          <w:rFonts w:hint="default" w:ascii="Times New Roman" w:hAnsi="Times New Roman" w:eastAsia="Times New Roman" w:cs="Times New Roman"/>
          <w:i/>
          <w:iCs/>
          <w:sz w:val="21"/>
          <w:szCs w:val="21"/>
          <w:vertAlign w:val="subscript"/>
        </w:rPr>
        <w:t>peak</w:t>
      </w: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, small otherwise.</w:t>
      </w:r>
    </w:p>
    <w:p w14:paraId="762D2692">
      <w:pPr>
        <w:numPr>
          <w:ilvl w:val="0"/>
          <w:numId w:val="3"/>
        </w:numPr>
        <w:spacing w:line="24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The mean rising gradient r_rise = (Q(</w:t>
      </w:r>
      <m:oMath>
        <m:sSub>
          <m:sSubPr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1"/>
                <w:szCs w:val="21"/>
              </w:rPr>
              <m:t>t</m:t>
            </m:r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1"/>
                <w:szCs w:val="21"/>
              </w:rPr>
              <m:t>p</m:t>
            </m:r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sub>
        </m:sSub>
      </m:oMath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) - Q(</w:t>
      </w:r>
      <m:oMath>
        <m:sSub>
          <m:sSubPr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1"/>
                <w:szCs w:val="21"/>
              </w:rPr>
              <m:t>t</m:t>
            </m:r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1"/>
                <w:szCs w:val="21"/>
              </w:rPr>
              <m:t>s</m:t>
            </m:r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sub>
        </m:sSub>
      </m:oMath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)) / (</w:t>
      </w:r>
      <m:oMath>
        <m:sSub>
          <m:sSubPr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1"/>
                <w:szCs w:val="21"/>
              </w:rPr>
              <m:t>t</m:t>
            </m:r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1"/>
                <w:szCs w:val="21"/>
              </w:rPr>
              <m:t>p</m:t>
            </m:r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sub>
        </m:sSub>
      </m:oMath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-</w:t>
      </w:r>
      <m:oMath>
        <m:sSub>
          <m:sSubPr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1"/>
                <w:szCs w:val="21"/>
              </w:rPr>
              <m:t>t</m:t>
            </m:r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1"/>
                <w:szCs w:val="21"/>
              </w:rPr>
              <m:t>s</m:t>
            </m:r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sub>
        </m:sSub>
      </m:oMath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). Rise type: rapid (r</w:t>
      </w:r>
      <w:r>
        <w:rPr>
          <w:rFonts w:hint="default" w:ascii="Times New Roman" w:hAnsi="Times New Roman" w:eastAsia="Times New Roman" w:cs="Times New Roman"/>
          <w:i/>
          <w:iCs/>
          <w:sz w:val="21"/>
          <w:szCs w:val="21"/>
          <w:vertAlign w:val="subscript"/>
        </w:rPr>
        <w:t>rise</w:t>
      </w: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 xml:space="preserve"> &gt; 5.0), moderate (r</w:t>
      </w:r>
      <w:r>
        <w:rPr>
          <w:rFonts w:hint="default" w:ascii="Times New Roman" w:hAnsi="Times New Roman" w:eastAsia="Times New Roman" w:cs="Times New Roman"/>
          <w:i/>
          <w:iCs/>
          <w:sz w:val="21"/>
          <w:szCs w:val="21"/>
          <w:vertAlign w:val="subscript"/>
        </w:rPr>
        <w:t>rise</w:t>
      </w: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 xml:space="preserve"> &gt; 1.0), slow (otherwise).</w:t>
      </w:r>
    </w:p>
    <w:p w14:paraId="0375D669">
      <w:pPr>
        <w:spacing w:before="40" w:after="40" w:line="240" w:lineRule="auto"/>
        <w:jc w:val="center"/>
        <w:rPr>
          <w:rFonts w:hint="default" w:ascii="Times New Roman" w:hAnsi="Times New Roman" w:cs="Times New Roman"/>
          <w:sz w:val="21"/>
          <w:szCs w:val="21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1"/>
                  <w:szCs w:val="21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1"/>
                  <w:szCs w:val="21"/>
                </w:rPr>
                <m:t>r</m:t>
              </m:r>
              <m:ctrlPr>
                <w:rPr>
                  <w:rFonts w:hint="default" w:ascii="Cambria Math" w:hAnsi="Cambria Math" w:cs="Times New Roman"/>
                  <w:sz w:val="21"/>
                  <w:szCs w:val="21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1"/>
                  <w:szCs w:val="21"/>
                </w:rPr>
                <m:t>rise</m:t>
              </m:r>
              <m:ctrlPr>
                <w:rPr>
                  <w:rFonts w:hint="default" w:ascii="Cambria Math" w:hAnsi="Cambria Math" w:cs="Times New Roman"/>
                  <w:sz w:val="21"/>
                  <w:szCs w:val="21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1"/>
              <w:szCs w:val="21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sz w:val="21"/>
                  <w:szCs w:val="21"/>
                </w:rPr>
              </m:ctrlPr>
            </m:fPr>
            <m:num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1"/>
                  <w:szCs w:val="21"/>
                </w:rPr>
                <m:t>Q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1"/>
                  <w:szCs w:val="21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1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1"/>
                      <w:szCs w:val="21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sz w:val="21"/>
                      <w:szCs w:val="21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1"/>
                      <w:szCs w:val="21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sz w:val="21"/>
                      <w:szCs w:val="21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1"/>
                  <w:szCs w:val="21"/>
                </w:rPr>
                <m:t>) −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1"/>
                  <w:szCs w:val="21"/>
                </w:rPr>
                <m:t>Q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1"/>
                  <w:szCs w:val="21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1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1"/>
                      <w:szCs w:val="21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sz w:val="21"/>
                      <w:szCs w:val="21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1"/>
                      <w:szCs w:val="21"/>
                    </w:rPr>
                    <m:t>s</m:t>
                  </m:r>
                  <m:ctrlPr>
                    <w:rPr>
                      <w:rFonts w:hint="default" w:ascii="Cambria Math" w:hAnsi="Cambria Math" w:cs="Times New Roman"/>
                      <w:sz w:val="21"/>
                      <w:szCs w:val="21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1"/>
                  <w:szCs w:val="21"/>
                </w:rPr>
                <m:t>)</m:t>
              </m:r>
              <m:ctrlPr>
                <w:rPr>
                  <w:rFonts w:hint="default" w:ascii="Cambria Math" w:hAnsi="Cambria Math" w:cs="Times New Roman"/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Times New Roman"/>
                      <w:sz w:val="21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1"/>
                      <w:szCs w:val="21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sz w:val="21"/>
                      <w:szCs w:val="21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1"/>
                      <w:szCs w:val="21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sz w:val="21"/>
                      <w:szCs w:val="21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1"/>
                  <w:szCs w:val="21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1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1"/>
                      <w:szCs w:val="21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sz w:val="21"/>
                      <w:szCs w:val="21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1"/>
                      <w:szCs w:val="21"/>
                    </w:rPr>
                    <m:t>s</m:t>
                  </m:r>
                  <m:ctrlPr>
                    <w:rPr>
                      <w:rFonts w:hint="default" w:ascii="Cambria Math" w:hAnsi="Cambria Math" w:cs="Times New Roman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sz w:val="21"/>
                  <w:szCs w:val="21"/>
                </w:rPr>
              </m:ctrlPr>
            </m:den>
          </m:f>
        </m:oMath>
      </m:oMathPara>
    </w:p>
    <w:p w14:paraId="49338CA0">
      <w:pPr>
        <w:numPr>
          <w:ilvl w:val="0"/>
          <w:numId w:val="3"/>
        </w:numPr>
        <w:spacing w:line="24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The mean recession gradient r_rec = (Q(</w:t>
      </w:r>
      <m:oMath>
        <m:sSub>
          <m:sSubPr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1"/>
                <w:szCs w:val="21"/>
              </w:rPr>
              <m:t>t</m:t>
            </m:r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1"/>
                <w:szCs w:val="21"/>
              </w:rPr>
              <m:t>p</m:t>
            </m:r>
            <m:ctrlPr>
              <w:rPr>
                <w:rFonts w:hint="default" w:ascii="Cambria Math" w:hAnsi="Cambria Math" w:cs="Times New Roman"/>
                <w:sz w:val="21"/>
                <w:szCs w:val="21"/>
              </w:rPr>
            </m:ctrlPr>
          </m:sub>
        </m:sSub>
      </m:oMath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) - Q(t</w:t>
      </w:r>
      <w:r>
        <w:rPr>
          <w:rFonts w:hint="eastAsia" w:ascii="Times New Roman" w:hAnsi="Times New Roman" w:eastAsia="宋体" w:cs="Times New Roman"/>
          <w:i/>
          <w:iCs/>
          <w:sz w:val="21"/>
          <w:szCs w:val="21"/>
          <w:vertAlign w:val="subscript"/>
          <w:lang w:val="en-US" w:eastAsia="zh-CN"/>
        </w:rPr>
        <w:t>e</w:t>
      </w: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)) / (t_e - t_p). Recession type: rapid (r_rec &gt; 3.0), moderate (r_rec &gt; 0.5), slow (otherwise).</w:t>
      </w:r>
    </w:p>
    <w:p w14:paraId="4253E6B9">
      <w:pPr>
        <w:spacing w:before="40" w:after="40" w:line="240" w:lineRule="auto"/>
        <w:jc w:val="center"/>
        <w:rPr>
          <w:rFonts w:hint="default" w:ascii="Times New Roman" w:hAnsi="Times New Roman" w:cs="Times New Roman"/>
          <w:sz w:val="21"/>
          <w:szCs w:val="21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1"/>
                  <w:szCs w:val="21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1"/>
                  <w:szCs w:val="21"/>
                </w:rPr>
                <m:t>r</m:t>
              </m:r>
              <m:ctrlPr>
                <w:rPr>
                  <w:rFonts w:hint="default" w:ascii="Cambria Math" w:hAnsi="Cambria Math" w:cs="Times New Roman"/>
                  <w:sz w:val="21"/>
                  <w:szCs w:val="21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1"/>
                  <w:szCs w:val="21"/>
                </w:rPr>
                <m:t>rec</m:t>
              </m:r>
              <m:ctrlPr>
                <w:rPr>
                  <w:rFonts w:hint="default" w:ascii="Cambria Math" w:hAnsi="Cambria Math" w:cs="Times New Roman"/>
                  <w:sz w:val="21"/>
                  <w:szCs w:val="21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1"/>
              <w:szCs w:val="21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sz w:val="21"/>
                  <w:szCs w:val="21"/>
                </w:rPr>
              </m:ctrlPr>
            </m:fPr>
            <m:num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1"/>
                  <w:szCs w:val="21"/>
                </w:rPr>
                <m:t>Q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1"/>
                  <w:szCs w:val="21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1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1"/>
                      <w:szCs w:val="21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sz w:val="21"/>
                      <w:szCs w:val="21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1"/>
                      <w:szCs w:val="21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sz w:val="21"/>
                      <w:szCs w:val="21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1"/>
                  <w:szCs w:val="21"/>
                </w:rPr>
                <m:t>) −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1"/>
                  <w:szCs w:val="21"/>
                </w:rPr>
                <m:t>Q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1"/>
                  <w:szCs w:val="21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1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1"/>
                      <w:szCs w:val="21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sz w:val="21"/>
                      <w:szCs w:val="21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1"/>
                      <w:szCs w:val="21"/>
                    </w:rPr>
                    <m:t>e</m:t>
                  </m:r>
                  <m:ctrlPr>
                    <w:rPr>
                      <w:rFonts w:hint="default" w:ascii="Cambria Math" w:hAnsi="Cambria Math" w:cs="Times New Roman"/>
                      <w:sz w:val="21"/>
                      <w:szCs w:val="21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1"/>
                  <w:szCs w:val="21"/>
                </w:rPr>
                <m:t>)</m:t>
              </m:r>
              <m:ctrlPr>
                <w:rPr>
                  <w:rFonts w:hint="default" w:ascii="Cambria Math" w:hAnsi="Cambria Math" w:cs="Times New Roman"/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Times New Roman"/>
                      <w:sz w:val="21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1"/>
                      <w:szCs w:val="21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sz w:val="21"/>
                      <w:szCs w:val="21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1"/>
                      <w:szCs w:val="21"/>
                    </w:rPr>
                    <m:t>e</m:t>
                  </m:r>
                  <m:ctrlPr>
                    <w:rPr>
                      <w:rFonts w:hint="default" w:ascii="Cambria Math" w:hAnsi="Cambria Math" w:cs="Times New Roman"/>
                      <w:sz w:val="21"/>
                      <w:szCs w:val="21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1"/>
                  <w:szCs w:val="21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1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1"/>
                      <w:szCs w:val="21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sz w:val="21"/>
                      <w:szCs w:val="21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1"/>
                      <w:szCs w:val="21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sz w:val="21"/>
                  <w:szCs w:val="21"/>
                </w:rPr>
              </m:ctrlPr>
            </m:den>
          </m:f>
        </m:oMath>
      </m:oMathPara>
    </w:p>
    <w:p w14:paraId="5D3158E7">
      <w:pPr>
        <w:numPr>
          <w:ilvl w:val="0"/>
          <w:numId w:val="3"/>
        </w:numPr>
        <w:spacing w:line="24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Let L = {i : Q(i) &gt; Q(i-1) ∧ Q(i) &gt; Q(i+1)} be the set of local maxima indices. Peak shape: multi-peak if |L| &gt; 1; sharp if left slope ΔL = Q(t_p)−Q(t_p−1) and right slope ΔR = Q(t_p)−Q(t_p+1) satisfy ΔL &gt; 3·ΔR or ΔR &gt; 3·ΔL; rounded otherwise.</w:t>
      </w:r>
    </w:p>
    <w:p w14:paraId="475FECAD">
      <w:pPr>
        <w:spacing w:before="40" w:after="40" w:line="240" w:lineRule="auto"/>
        <w:jc w:val="center"/>
        <w:rPr>
          <w:rFonts w:hint="default" w:ascii="Times New Roman" w:hAnsi="Times New Roman" w:cs="Times New Roman"/>
          <w:sz w:val="21"/>
          <w:szCs w:val="21"/>
        </w:rPr>
      </w:pPr>
      <m:oMathPara>
        <m:oMath>
          <m:r>
            <m:rPr>
              <m:nor/>
            </m:rPr>
            <w:rPr>
              <w:rFonts w:hint="default" w:ascii="Times New Roman" w:hAnsi="Times New Roman" w:cs="Times New Roman"/>
              <w:i/>
              <w:sz w:val="21"/>
              <w:szCs w:val="21"/>
            </w:rPr>
            <m:t>L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1"/>
              <w:szCs w:val="21"/>
            </w:rPr>
            <m:t>= {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1"/>
              <w:szCs w:val="21"/>
            </w:rPr>
            <m:t>i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1"/>
              <w:szCs w:val="21"/>
            </w:rPr>
            <m:t>: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1"/>
              <w:szCs w:val="21"/>
            </w:rPr>
            <m:t>Q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1"/>
              <w:szCs w:val="21"/>
            </w:rPr>
            <m:t>(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1"/>
              <w:szCs w:val="21"/>
            </w:rPr>
            <m:t>i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1"/>
              <w:szCs w:val="21"/>
            </w:rPr>
            <m:t>) &gt;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1"/>
              <w:szCs w:val="21"/>
            </w:rPr>
            <m:t>Q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1"/>
              <w:szCs w:val="21"/>
            </w:rPr>
            <m:t>(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1"/>
              <w:szCs w:val="21"/>
            </w:rPr>
            <m:t>i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1"/>
              <w:szCs w:val="21"/>
            </w:rPr>
            <m:t>−1) ∧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1"/>
              <w:szCs w:val="21"/>
            </w:rPr>
            <m:t>Q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1"/>
              <w:szCs w:val="21"/>
            </w:rPr>
            <m:t>(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1"/>
              <w:szCs w:val="21"/>
            </w:rPr>
            <m:t>i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1"/>
              <w:szCs w:val="21"/>
            </w:rPr>
            <m:t>) &gt;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1"/>
              <w:szCs w:val="21"/>
            </w:rPr>
            <m:t>Q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1"/>
              <w:szCs w:val="21"/>
            </w:rPr>
            <m:t>(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1"/>
              <w:szCs w:val="21"/>
            </w:rPr>
            <m:t>i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1"/>
              <w:szCs w:val="21"/>
            </w:rPr>
            <m:t>+1)}</m:t>
          </m:r>
        </m:oMath>
      </m:oMathPara>
    </w:p>
    <w:p w14:paraId="58A5263A">
      <w:pPr>
        <w:numPr>
          <w:ilvl w:val="0"/>
          <w:numId w:val="3"/>
        </w:numPr>
        <w:spacing w:line="24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Runoff coefficient φ = V_flood / (P_total × 0.01), where V_flood is the flood volume and P_total = Σ_{t=t_s}^{t_e} P(t) is the total precipitation. Rainfall-driven intensity: high (φ &gt; 0.3), medium (φ &gt; 0.1), low (otherwise).</w:t>
      </w:r>
    </w:p>
    <w:p w14:paraId="3FA9C251">
      <w:pPr>
        <w:spacing w:before="40" w:after="40" w:line="240" w:lineRule="auto"/>
        <w:jc w:val="center"/>
        <w:rPr>
          <w:rFonts w:hint="default" w:ascii="Times New Roman" w:hAnsi="Times New Roman" w:cs="Times New Roman"/>
          <w:sz w:val="21"/>
          <w:szCs w:val="21"/>
        </w:rPr>
      </w:pPr>
      <m:oMathPara>
        <m:oMath>
          <m:r>
            <m:rPr>
              <m:nor/>
            </m:rPr>
            <w:rPr>
              <w:rFonts w:hint="default" w:ascii="Times New Roman" w:hAnsi="Times New Roman" w:cs="Times New Roman"/>
              <w:i/>
              <w:sz w:val="21"/>
              <w:szCs w:val="21"/>
            </w:rPr>
            <m:t>φ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1"/>
              <w:szCs w:val="21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Times New Roman"/>
                      <w:sz w:val="21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1"/>
                      <w:szCs w:val="21"/>
                    </w:rPr>
                    <m:t>V</m:t>
                  </m:r>
                  <m:ctrlPr>
                    <w:rPr>
                      <w:rFonts w:hint="default" w:ascii="Cambria Math" w:hAnsi="Cambria Math" w:cs="Times New Roman"/>
                      <w:sz w:val="21"/>
                      <w:szCs w:val="21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1"/>
                      <w:szCs w:val="21"/>
                    </w:rPr>
                    <m:t>flood</m:t>
                  </m:r>
                  <m:ctrlPr>
                    <w:rPr>
                      <w:rFonts w:hint="default" w:ascii="Cambria Math" w:hAnsi="Cambria Math" w:cs="Times New Roman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Times New Roman"/>
                      <w:sz w:val="21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1"/>
                      <w:szCs w:val="21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sz w:val="21"/>
                      <w:szCs w:val="21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1"/>
                      <w:szCs w:val="21"/>
                    </w:rPr>
                    <m:t>total</m:t>
                  </m:r>
                  <m:ctrlPr>
                    <w:rPr>
                      <w:rFonts w:hint="default" w:ascii="Cambria Math" w:hAnsi="Cambria Math" w:cs="Times New Roman"/>
                      <w:sz w:val="21"/>
                      <w:szCs w:val="21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1"/>
                  <w:szCs w:val="21"/>
                </w:rPr>
                <m:t>× 0.01</m:t>
              </m:r>
              <m:ctrlPr>
                <w:rPr>
                  <w:rFonts w:hint="default" w:ascii="Cambria Math" w:hAnsi="Cambria Math" w:cs="Times New Roman"/>
                  <w:sz w:val="21"/>
                  <w:szCs w:val="21"/>
                </w:rPr>
              </m:ctrlPr>
            </m:den>
          </m:f>
        </m:oMath>
      </m:oMathPara>
    </w:p>
    <w:p w14:paraId="783F26BC">
      <w:pPr>
        <w:numPr>
          <w:ilvl w:val="0"/>
          <w:numId w:val="3"/>
        </w:numPr>
        <w:spacing w:line="24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Flood volume for daily timestep (units: 10⁴ m³): V_flood = Σ_{t=t_s}^{t_e} (Q(t) - Q_base) × 86400 / 10000.</w:t>
      </w:r>
    </w:p>
    <w:p w14:paraId="5D989788">
      <w:pPr>
        <w:spacing w:before="40" w:after="40" w:line="240" w:lineRule="auto"/>
        <w:jc w:val="center"/>
        <w:rPr>
          <w:rFonts w:hint="default" w:ascii="Times New Roman" w:hAnsi="Times New Roman" w:cs="Times New Roman"/>
          <w:sz w:val="21"/>
          <w:szCs w:val="21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1"/>
                  <w:szCs w:val="21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1"/>
                  <w:szCs w:val="21"/>
                </w:rPr>
                <m:t>V</m:t>
              </m:r>
              <m:ctrlPr>
                <w:rPr>
                  <w:rFonts w:hint="default" w:ascii="Cambria Math" w:hAnsi="Cambria Math" w:cs="Times New Roman"/>
                  <w:sz w:val="21"/>
                  <w:szCs w:val="21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1"/>
                  <w:szCs w:val="21"/>
                </w:rPr>
                <m:t>flood</m:t>
              </m:r>
              <m:ctrlPr>
                <w:rPr>
                  <w:rFonts w:hint="default" w:ascii="Cambria Math" w:hAnsi="Cambria Math" w:cs="Times New Roman"/>
                  <w:sz w:val="21"/>
                  <w:szCs w:val="21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1"/>
              <w:szCs w:val="21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sz w:val="21"/>
                  <w:szCs w:val="21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hint="default" w:ascii="Cambria Math" w:hAnsi="Cambria Math" w:cs="Times New Roman"/>
                      <w:i w:val="0"/>
                      <w:sz w:val="21"/>
                      <w:szCs w:val="21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1"/>
                      <w:szCs w:val="21"/>
                      <w:lang w:val="en-US" w:eastAsia="zh-CN"/>
                    </w:rPr>
                    <m:t>t=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sz w:val="21"/>
                          <w:szCs w:val="21"/>
                          <w:lang w:val="en-US" w:eastAsia="zh-CN"/>
                        </w:rPr>
                        <m:t>t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sz w:val="21"/>
                          <w:szCs w:val="21"/>
                          <w:lang w:val="en-US" w:eastAsia="zh-CN"/>
                        </w:rPr>
                        <m:t>s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 w:val="0"/>
                      <w:sz w:val="21"/>
                      <w:szCs w:val="21"/>
                    </w:rPr>
                  </m:ctrlPr>
                </m:sub>
                <m:sup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sz w:val="21"/>
                          <w:szCs w:val="21"/>
                          <w:lang w:val="en-US" w:eastAsia="zh-CN"/>
                        </w:rPr>
                        <m:t>t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sz w:val="21"/>
                          <w:szCs w:val="21"/>
                          <w:lang w:val="en-US" w:eastAsia="zh-CN"/>
                        </w:rPr>
                        <m:t>e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 w:val="0"/>
                      <w:sz w:val="21"/>
                      <w:szCs w:val="21"/>
                    </w:rPr>
                  </m:ctrlPr>
                </m:sup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1"/>
                      <w:szCs w:val="21"/>
                    </w:rPr>
                    <m:t>(</m:t>
                  </m:r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1"/>
                      <w:szCs w:val="21"/>
                    </w:rPr>
                    <m:t>Q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1"/>
                      <w:szCs w:val="21"/>
                    </w:rPr>
                    <m:t>(</m:t>
                  </m:r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1"/>
                      <w:szCs w:val="21"/>
                    </w:rPr>
                    <m:t>t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1"/>
                      <w:szCs w:val="21"/>
                    </w:rPr>
                    <m:t>) −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  <w:sz w:val="21"/>
                          <w:szCs w:val="21"/>
                        </w:rPr>
                        <m:t>Q</m:t>
                      </m:r>
                      <m:ctrlPr>
                        <w:rPr>
                          <w:rFonts w:hint="default" w:ascii="Cambria Math" w:hAnsi="Cambria Math" w:cs="Times New Roman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  <w:sz w:val="21"/>
                          <w:szCs w:val="21"/>
                        </w:rPr>
                        <m:t>base</m:t>
                      </m:r>
                      <m:ctrlPr>
                        <w:rPr>
                          <w:rFonts w:hint="default" w:ascii="Cambria Math" w:hAnsi="Cambria Math" w:cs="Times New Roman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1"/>
                      <w:szCs w:val="21"/>
                    </w:rPr>
                    <m:t>) × 86400</m:t>
                  </m:r>
                  <m:ctrlPr>
                    <w:rPr>
                      <w:rFonts w:hint="default" w:ascii="Cambria Math" w:hAnsi="Cambria Math" w:cs="Times New Roman"/>
                      <w:i w:val="0"/>
                      <w:sz w:val="21"/>
                      <w:szCs w:val="21"/>
                    </w:rPr>
                  </m:ctrlPr>
                </m:e>
              </m:nary>
              <m:ctrlPr>
                <w:rPr>
                  <w:rFonts w:hint="default" w:ascii="Cambria Math" w:hAnsi="Cambria Math" w:cs="Times New Roman"/>
                  <w:sz w:val="21"/>
                  <w:szCs w:val="21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1"/>
                  <w:szCs w:val="21"/>
                </w:rPr>
                <m:t>10000</m:t>
              </m:r>
              <m:ctrlPr>
                <w:rPr>
                  <w:rFonts w:hint="default" w:ascii="Cambria Math" w:hAnsi="Cambria Math" w:cs="Times New Roman"/>
                  <w:sz w:val="21"/>
                  <w:szCs w:val="21"/>
                </w:rPr>
              </m:ctrlPr>
            </m:den>
          </m:f>
        </m:oMath>
      </m:oMathPara>
    </w:p>
    <w:p w14:paraId="74DA3C42">
      <w:pPr>
        <w:numPr>
          <w:ilvl w:val="0"/>
          <w:numId w:val="3"/>
        </w:numPr>
        <w:spacing w:line="24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Peak-to-baseflow ratio: r_peak = Q(t_p) / Q_base.</w:t>
      </w:r>
    </w:p>
    <w:p w14:paraId="5950C9FC">
      <w:pPr>
        <w:spacing w:before="40" w:after="40" w:line="240" w:lineRule="auto"/>
        <w:jc w:val="center"/>
        <w:rPr>
          <w:rFonts w:hint="default" w:ascii="Times New Roman" w:hAnsi="Times New Roman" w:cs="Times New Roman"/>
          <w:sz w:val="21"/>
          <w:szCs w:val="21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1"/>
                  <w:szCs w:val="21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1"/>
                  <w:szCs w:val="21"/>
                </w:rPr>
                <m:t>r</m:t>
              </m:r>
              <m:ctrlPr>
                <w:rPr>
                  <w:rFonts w:hint="default" w:ascii="Cambria Math" w:hAnsi="Cambria Math" w:cs="Times New Roman"/>
                  <w:sz w:val="21"/>
                  <w:szCs w:val="21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1"/>
                  <w:szCs w:val="21"/>
                </w:rPr>
                <m:t>peak</m:t>
              </m:r>
              <m:ctrlPr>
                <w:rPr>
                  <w:rFonts w:hint="default" w:ascii="Cambria Math" w:hAnsi="Cambria Math" w:cs="Times New Roman"/>
                  <w:sz w:val="21"/>
                  <w:szCs w:val="21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1"/>
              <w:szCs w:val="21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sz w:val="21"/>
                  <w:szCs w:val="21"/>
                </w:rPr>
              </m:ctrlPr>
            </m:fPr>
            <m:num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1"/>
                  <w:szCs w:val="21"/>
                </w:rPr>
                <m:t>Q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1"/>
                  <w:szCs w:val="21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1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1"/>
                      <w:szCs w:val="21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sz w:val="21"/>
                      <w:szCs w:val="21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1"/>
                      <w:szCs w:val="21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sz w:val="21"/>
                      <w:szCs w:val="21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1"/>
                  <w:szCs w:val="21"/>
                </w:rPr>
                <m:t>)</m:t>
              </m:r>
              <m:ctrlPr>
                <w:rPr>
                  <w:rFonts w:hint="default" w:ascii="Cambria Math" w:hAnsi="Cambria Math" w:cs="Times New Roman"/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Times New Roman"/>
                      <w:sz w:val="21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1"/>
                      <w:szCs w:val="21"/>
                    </w:rPr>
                    <m:t>Q</m:t>
                  </m:r>
                  <m:ctrlPr>
                    <w:rPr>
                      <w:rFonts w:hint="default" w:ascii="Cambria Math" w:hAnsi="Cambria Math" w:cs="Times New Roman"/>
                      <w:sz w:val="21"/>
                      <w:szCs w:val="21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1"/>
                      <w:szCs w:val="21"/>
                    </w:rPr>
                    <m:t>base</m:t>
                  </m:r>
                  <m:ctrlPr>
                    <w:rPr>
                      <w:rFonts w:hint="default" w:ascii="Cambria Math" w:hAnsi="Cambria Math" w:cs="Times New Roman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sz w:val="21"/>
                  <w:szCs w:val="21"/>
                </w:rPr>
              </m:ctrlPr>
            </m:den>
          </m:f>
        </m:oMath>
      </m:oMathPara>
    </w:p>
    <w:p w14:paraId="3338C08B">
      <w:pPr>
        <w:numPr>
          <w:ilvl w:val="0"/>
          <w:numId w:val="3"/>
        </w:numPr>
        <w:spacing w:line="24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The classification thresholds (r_rise: 5.0/1.0; r_rec: 3.0/0.5; φ: 0.3/0.1) are default heuristics calibrated to the typical hydroclimatic regime of the study watersheds and can be adjusted for different regions.</w:t>
      </w:r>
    </w:p>
    <w:p w14:paraId="6BC2BF10">
      <w:pPr>
        <w:numPr>
          <w:ilvl w:val="0"/>
          <w:numId w:val="3"/>
        </w:numPr>
        <w:spacing w:line="24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The composite representative score is computed as S_rep = (0.3·S_peak + 0.2·S_volume + 0.5·S_magnitude/100) × 100, where S_peak = 1 − |Q_peak − Q̄_peak|/Q̄_peak, S_volume = 1 − |V_flood − V̄_flood|/V̄_flood, and S_magnitude assigns 100 (extreme), 85 (large), 70 (medium), 50 (small). This score ranks events by representativeness for calibration selection.</w:t>
      </w:r>
    </w:p>
    <w:p w14:paraId="5F19212F">
      <w:pPr>
        <w:spacing w:before="40" w:after="40" w:line="240" w:lineRule="auto"/>
        <w:jc w:val="center"/>
        <w:rPr>
          <w:rFonts w:hint="default" w:ascii="Times New Roman" w:hAnsi="Times New Roman" w:cs="Times New Roman"/>
          <w:sz w:val="21"/>
          <w:szCs w:val="21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1"/>
                  <w:szCs w:val="21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1"/>
                  <w:szCs w:val="21"/>
                </w:rPr>
                <m:t>S</m:t>
              </m:r>
              <m:ctrlPr>
                <w:rPr>
                  <w:rFonts w:hint="default" w:ascii="Cambria Math" w:hAnsi="Cambria Math" w:cs="Times New Roman"/>
                  <w:sz w:val="21"/>
                  <w:szCs w:val="21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1"/>
                  <w:szCs w:val="21"/>
                </w:rPr>
                <m:t>rep</m:t>
              </m:r>
              <m:ctrlPr>
                <w:rPr>
                  <w:rFonts w:hint="default" w:ascii="Cambria Math" w:hAnsi="Cambria Math" w:cs="Times New Roman"/>
                  <w:sz w:val="21"/>
                  <w:szCs w:val="21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1"/>
              <w:szCs w:val="21"/>
            </w:rPr>
            <m:t>= (0.3·</m:t>
          </m:r>
          <m:sSub>
            <m:sSubPr>
              <m:ctrlPr>
                <w:rPr>
                  <w:rFonts w:hint="default" w:ascii="Cambria Math" w:hAnsi="Cambria Math" w:cs="Times New Roman"/>
                  <w:sz w:val="21"/>
                  <w:szCs w:val="21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1"/>
                  <w:szCs w:val="21"/>
                </w:rPr>
                <m:t>S</m:t>
              </m:r>
              <m:ctrlPr>
                <w:rPr>
                  <w:rFonts w:hint="default" w:ascii="Cambria Math" w:hAnsi="Cambria Math" w:cs="Times New Roman"/>
                  <w:sz w:val="21"/>
                  <w:szCs w:val="21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1"/>
                  <w:szCs w:val="21"/>
                </w:rPr>
                <m:t>peak</m:t>
              </m:r>
              <m:ctrlPr>
                <w:rPr>
                  <w:rFonts w:hint="default" w:ascii="Cambria Math" w:hAnsi="Cambria Math" w:cs="Times New Roman"/>
                  <w:sz w:val="21"/>
                  <w:szCs w:val="21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1"/>
              <w:szCs w:val="21"/>
            </w:rPr>
            <m:t>+ 0.2·</m:t>
          </m:r>
          <m:sSub>
            <m:sSubPr>
              <m:ctrlPr>
                <w:rPr>
                  <w:rFonts w:hint="default" w:ascii="Cambria Math" w:hAnsi="Cambria Math" w:cs="Times New Roman"/>
                  <w:sz w:val="21"/>
                  <w:szCs w:val="21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1"/>
                  <w:szCs w:val="21"/>
                </w:rPr>
                <m:t>S</m:t>
              </m:r>
              <m:ctrlPr>
                <w:rPr>
                  <w:rFonts w:hint="default" w:ascii="Cambria Math" w:hAnsi="Cambria Math" w:cs="Times New Roman"/>
                  <w:sz w:val="21"/>
                  <w:szCs w:val="21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1"/>
                  <w:szCs w:val="21"/>
                </w:rPr>
                <m:t>volume</m:t>
              </m:r>
              <m:ctrlPr>
                <w:rPr>
                  <w:rFonts w:hint="default" w:ascii="Cambria Math" w:hAnsi="Cambria Math" w:cs="Times New Roman"/>
                  <w:sz w:val="21"/>
                  <w:szCs w:val="21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1"/>
              <w:szCs w:val="21"/>
            </w:rPr>
            <m:t>+ 0.5·</m:t>
          </m:r>
          <m:sSub>
            <m:sSubPr>
              <m:ctrlPr>
                <w:rPr>
                  <w:rFonts w:hint="default" w:ascii="Cambria Math" w:hAnsi="Cambria Math" w:cs="Times New Roman"/>
                  <w:sz w:val="21"/>
                  <w:szCs w:val="21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1"/>
                  <w:szCs w:val="21"/>
                </w:rPr>
                <m:t>S</m:t>
              </m:r>
              <m:ctrlPr>
                <w:rPr>
                  <w:rFonts w:hint="default" w:ascii="Cambria Math" w:hAnsi="Cambria Math" w:cs="Times New Roman"/>
                  <w:sz w:val="21"/>
                  <w:szCs w:val="21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1"/>
                  <w:szCs w:val="21"/>
                </w:rPr>
                <m:t>magnitude</m:t>
              </m:r>
              <m:ctrlPr>
                <w:rPr>
                  <w:rFonts w:hint="default" w:ascii="Cambria Math" w:hAnsi="Cambria Math" w:cs="Times New Roman"/>
                  <w:sz w:val="21"/>
                  <w:szCs w:val="21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1"/>
              <w:szCs w:val="21"/>
            </w:rPr>
            <m:t>/100) × 100</m:t>
          </m:r>
        </m:oMath>
      </m:oMathPara>
    </w:p>
    <w:p w14:paraId="22DD9330">
      <w:pPr>
        <w:numPr>
          <w:ilvl w:val="0"/>
          <w:numId w:val="3"/>
        </w:numPr>
        <w:spacing w:line="24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Pearson Type III theoretical frequency curves are fitted to observed peak-flow and flood-volume series, plotted on probability paper (Hazen coordinate), and annotated with statistical parameters (X̄, Cv, Cs). The semantic codes are serialized into a structured representation and supplied to the LLM alongside a detailed prompt that requests a seven-section diagnostic analysis covering flood characteristics, anomaly detection, spatiotemporal patterns, representativeness assessment, quality evaluation, calibration strategy, and anomaly handling.</w:t>
      </w:r>
    </w:p>
    <w:p w14:paraId="1D941A75">
      <w:pPr>
        <w:widowControl w:val="0"/>
        <w:numPr>
          <w:numId w:val="0"/>
        </w:numPr>
        <w:spacing w:line="240" w:lineRule="auto"/>
        <w:jc w:val="both"/>
        <w:rPr>
          <w:rFonts w:hint="eastAsia" w:ascii="Times New Roman" w:hAnsi="Times New Roman" w:cs="Times New Roman" w:eastAsiaTheme="minorEastAsia"/>
          <w:sz w:val="21"/>
          <w:szCs w:val="21"/>
          <w:lang w:eastAsia="zh-CN"/>
        </w:rPr>
      </w:pPr>
    </w:p>
    <w:p w14:paraId="4E24DEB5">
      <w:pPr>
        <w:widowControl w:val="0"/>
        <w:numPr>
          <w:numId w:val="0"/>
        </w:numPr>
        <w:spacing w:line="240" w:lineRule="auto"/>
        <w:jc w:val="both"/>
        <w:rPr>
          <w:rFonts w:hint="eastAsia" w:ascii="Times New Roman" w:hAnsi="Times New Roman" w:cs="Times New Roman" w:eastAsiaTheme="minorEastAsia"/>
          <w:sz w:val="21"/>
          <w:szCs w:val="21"/>
          <w:lang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eastAsia="zh-CN"/>
        </w:rPr>
        <w:drawing>
          <wp:inline distT="0" distB="0" distL="114300" distR="114300">
            <wp:extent cx="5268595" cy="3757930"/>
            <wp:effectExtent l="0" t="0" r="0" b="0"/>
            <wp:docPr id="2" name="图片 2" descr="ChatGPT Image 2026年5月24日 20_27_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hatGPT Image 2026年5月24日 20_27_41"/>
                    <pic:cNvPicPr>
                      <a:picLocks noChangeAspect="1"/>
                    </pic:cNvPicPr>
                  </pic:nvPicPr>
                  <pic:blipFill>
                    <a:blip r:embed="rId5"/>
                    <a:srcRect t="490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7A58A">
      <w:pPr>
        <w:numPr>
          <w:numId w:val="0"/>
        </w:numPr>
        <w:spacing w:line="240" w:lineRule="auto"/>
        <w:ind w:leftChars="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FF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olor w:val="0000FF"/>
          <w:sz w:val="21"/>
          <w:szCs w:val="21"/>
        </w:rPr>
        <w:t>[Figure 2] Schematic showing raw time series → feature extraction → semantic classification → structured encoding pipeline.</w:t>
      </w:r>
    </w:p>
    <w:p w14:paraId="2C8879A4">
      <w:pPr>
        <w:spacing w:line="240" w:lineRule="auto"/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 w:eastAsia="zh-CN"/>
        </w:rPr>
        <w:t>2.3  Hydrology models and calibration algorithms</w:t>
      </w:r>
    </w:p>
    <w:p w14:paraId="0897A07E">
      <w:pPr>
        <w:numPr>
          <w:ilvl w:val="0"/>
          <w:numId w:val="3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Model portfolio:</w:t>
      </w:r>
    </w:p>
    <w:p w14:paraId="795D8B63">
      <w:pPr>
        <w:numPr>
          <w:ilvl w:val="1"/>
          <w:numId w:val="3"/>
        </w:numPr>
        <w:spacing w:line="240" w:lineRule="auto"/>
        <w:ind w:left="840" w:leftChars="0" w:hanging="420" w:firstLineChars="0"/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Tank model (3 parameters: fast-runoff coefficient k1, slow-baseflow coefficient k2, runoff generation coefficient c) — a multi-layer linear-reservoir cascade widely adopted in East Asian flood forecasting.</w:t>
      </w:r>
    </w:p>
    <w:p w14:paraId="5D3F4AD2">
      <w:pPr>
        <w:numPr>
          <w:ilvl w:val="1"/>
          <w:numId w:val="3"/>
        </w:numPr>
        <w:spacing w:line="240" w:lineRule="auto"/>
        <w:ind w:left="840" w:leftChars="0" w:hanging="420" w:firstLineChars="0"/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HBV model (10 parameters: fc, beta, k0, k1, lp, perc, uzl, k2, etc.) — the Nordic conceptual model with soil moisture accounting, dual fast/slow response functions, and evapotranspiration limitation.</w:t>
      </w:r>
    </w:p>
    <w:p w14:paraId="2CD9CFFA">
      <w:pPr>
        <w:numPr>
          <w:ilvl w:val="1"/>
          <w:numId w:val="3"/>
        </w:numPr>
        <w:spacing w:line="240" w:lineRule="auto"/>
        <w:ind w:left="840" w:leftChars="0" w:hanging="420" w:firstLineChars="0"/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Xinanjiang model (21 parameters: B, C, WM, WUM, WLM, IM, SM, EX, K, KI, KG, CG, CI, CS, L, X, and routing parameters) — a three-source runoff generation model with Muskingum channel routing, dominant in humid and semi-humid regions of China.</w:t>
      </w:r>
    </w:p>
    <w:p w14:paraId="425260BC">
      <w:pPr>
        <w:numPr>
          <w:ilvl w:val="0"/>
          <w:numId w:val="3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Optimization algorithms:</w:t>
      </w:r>
    </w:p>
    <w:p w14:paraId="3926AE13">
      <w:pPr>
        <w:numPr>
          <w:ilvl w:val="1"/>
          <w:numId w:val="3"/>
        </w:numPr>
        <w:spacing w:line="240" w:lineRule="auto"/>
        <w:ind w:left="840" w:leftChars="0" w:hanging="420" w:firstLineChars="0"/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Two-Stage optimization (Simulated Annealing + L-BFGS-B): a sequential global-to-local strategy that first explores the parameter space broadly, then refines the best candidate with gradient-based local search, recommended as the default algorithm.</w:t>
      </w:r>
    </w:p>
    <w:p w14:paraId="3D83544F">
      <w:pPr>
        <w:numPr>
          <w:ilvl w:val="1"/>
          <w:numId w:val="3"/>
        </w:numPr>
        <w:spacing w:line="240" w:lineRule="auto"/>
        <w:ind w:left="840" w:leftChars="0" w:hanging="420" w:firstLineChars="0"/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Particle Swarm Optimization (PSO): a population-based metaheuristic with configurable swarm size, inertia weight, and cognitive/social acceleration coefficients.</w:t>
      </w:r>
    </w:p>
    <w:p w14:paraId="0D10DF11">
      <w:pPr>
        <w:numPr>
          <w:ilvl w:val="1"/>
          <w:numId w:val="3"/>
        </w:numPr>
        <w:spacing w:line="240" w:lineRule="auto"/>
        <w:ind w:left="840" w:leftChars="0" w:hanging="420" w:firstLineChars="0"/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Shuffled Complex Evolution (SCE-UA): a global optimization strategy combining deterministic search, competitive evolution, and complex shuffling for complex nonlinear calibration problems.</w:t>
      </w:r>
    </w:p>
    <w:p w14:paraId="2215D696">
      <w:pPr>
        <w:numPr>
          <w:ilvl w:val="1"/>
          <w:numId w:val="3"/>
        </w:numPr>
        <w:spacing w:line="240" w:lineRule="auto"/>
        <w:ind w:left="840" w:leftChars="0" w:hanging="420" w:firstLineChars="0"/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Differential Evolution (DE): a stochastic direct-search method with configurable mutation factor, crossover probability, and population size.</w:t>
      </w:r>
    </w:p>
    <w:p w14:paraId="218CDF26">
      <w:pPr>
        <w:numPr>
          <w:ilvl w:val="1"/>
          <w:numId w:val="3"/>
        </w:numPr>
        <w:spacing w:line="240" w:lineRule="auto"/>
        <w:ind w:left="840" w:leftChars="0" w:hanging="420" w:firstLineChars="0"/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Genetic Algorithm (GA): an evolutionary algorithm employing tournament selection, crossover, and Gaussian mutation operators.</w:t>
      </w:r>
    </w:p>
    <w:p w14:paraId="63AD8F1F">
      <w:pPr>
        <w:numPr>
          <w:ilvl w:val="0"/>
          <w:numId w:val="3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Evaluation metrics: NSE (Nash-Sutcliffe Efficiency), KGE (Kling-Gupta Efficiency), RMSE, MAE, and PBIAS are computed with NaN-masked arrays to handle irregular observations across flood events.</w:t>
      </w:r>
    </w:p>
    <w:p w14:paraId="7D849DFB">
      <w:pPr>
        <w:numPr>
          <w:ilvl w:val="0"/>
          <w:numId w:val="3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Muskingum routing: an optional upstream-to-downstream flood routing scheme with either auto-calibrated or user-specified storage constant K and weighting factor X, enabling multi-reach hydrological simulations.</w:t>
      </w:r>
    </w:p>
    <w:p w14:paraId="0B9EE03A">
      <w:pPr>
        <w:numPr>
          <w:ilvl w:val="0"/>
          <w:numId w:val="0"/>
        </w:numPr>
        <w:spacing w:line="240" w:lineRule="auto"/>
        <w:ind w:leftChars="0"/>
        <w:jc w:val="center"/>
        <w:rPr>
          <w:rFonts w:hint="eastAsia" w:ascii="Times New Roman" w:hAnsi="Times New Roman" w:eastAsia="宋体" w:cs="Times New Roman"/>
          <w:b/>
          <w:bCs/>
          <w:i w:val="0"/>
          <w:iCs w:val="0"/>
          <w:color w:val="0000FF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olor w:val="0000FF"/>
          <w:sz w:val="21"/>
          <w:szCs w:val="21"/>
          <w:lang w:eastAsia="zh-CN"/>
        </w:rPr>
        <w:drawing>
          <wp:inline distT="0" distB="0" distL="114300" distR="114300">
            <wp:extent cx="5268595" cy="3777615"/>
            <wp:effectExtent l="0" t="0" r="0" b="0"/>
            <wp:docPr id="5" name="图片 5" descr="ChatGPT Image 2026年5月24日 20_30_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hatGPT Image 2026年5月24日 20_30_38"/>
                    <pic:cNvPicPr>
                      <a:picLocks noChangeAspect="1"/>
                    </pic:cNvPicPr>
                  </pic:nvPicPr>
                  <pic:blipFill>
                    <a:blip r:embed="rId6"/>
                    <a:srcRect t="440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AAA3">
      <w:pPr>
        <w:numPr>
          <w:ilvl w:val="0"/>
          <w:numId w:val="0"/>
        </w:numPr>
        <w:spacing w:line="240" w:lineRule="auto"/>
        <w:ind w:leftChars="0"/>
        <w:jc w:val="center"/>
        <w:rPr>
          <w:rFonts w:hint="default" w:ascii="Times New Roman" w:hAnsi="Times New Roman" w:eastAsia="Times New Roman" w:cs="Times New Roman"/>
          <w:b/>
          <w:bCs/>
          <w:i w:val="0"/>
          <w:iCs w:val="0"/>
          <w:color w:val="0000FF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olor w:val="0000FF"/>
          <w:sz w:val="21"/>
          <w:szCs w:val="21"/>
        </w:rPr>
        <w:t xml:space="preserve"> [Figure 3]Schematic of the three model structures (Tank, HBV, Xinanjiang) with parameter annotations.</w:t>
      </w:r>
    </w:p>
    <w:p w14:paraId="739F2C78">
      <w:pPr>
        <w:spacing w:line="240" w:lineRule="auto"/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 w:eastAsia="zh-CN"/>
        </w:rPr>
        <w:t>2.4  Hybrid physics-ML modeling approaches</w:t>
      </w:r>
    </w:p>
    <w:p w14:paraId="586555F5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Conceptual models capture dominant physical processes but exhibit systematic errors (e.g., timing bias, peak underestimation) due to structural simplifications. ML-based error correction learns residual patterns as a post-processor without replacing the physical model’s core hydrological formulation.</w:t>
      </w:r>
    </w:p>
    <w:p w14:paraId="3618C097">
      <w:pPr>
        <w:numPr>
          <w:ilvl w:val="0"/>
          <w:numId w:val="4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XGBoost error correction employs eight input features—five error lags (e_{t-1}, …, e_{t-5}) and three precipitation lags (p_{t-1}, p_{t-2}, p_{t-3})—to predict the model residual. Correction follows: corrected(t) = simulated(t) + predicted\_error(t). Two evaluation modes are implemented: (A) recursive correction using XGBoost-predicted error lags in operational mode, and (B) oracle correction using true error lags, serving as an upper-bound performance benchmark.</w:t>
      </w:r>
    </w:p>
    <w:p w14:paraId="517DEE02">
      <w:pPr>
        <w:numPr>
          <w:ilvl w:val="0"/>
          <w:numId w:val="4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Events are randomly partitioned into calibration (75%) and validation (25%) sets by event index to prevent temporal data leakage across flood events. Fixed random seed (2025) ensures reproducibility.</w:t>
      </w:r>
    </w:p>
    <w:p w14:paraId="56A46B93">
      <w:pPr>
        <w:numPr>
          <w:ilvl w:val="0"/>
          <w:numId w:val="4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Bayesian Model Averaging assigns weights proportional to exp(NSE / temperature) for multi-model ensemble predictions, improving robustness over single-model outputs.</w:t>
      </w:r>
    </w:p>
    <w:p w14:paraId="7B883152">
      <w:pPr>
        <w:widowControl w:val="0"/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</w:pPr>
    </w:p>
    <w:p w14:paraId="2F6C5C64">
      <w:pPr>
        <w:widowControl w:val="0"/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drawing>
          <wp:inline distT="0" distB="0" distL="114300" distR="114300">
            <wp:extent cx="5263515" cy="2416810"/>
            <wp:effectExtent l="0" t="0" r="0" b="0"/>
            <wp:docPr id="8" name="图片 8" descr="ChatGPT Image 2026年5月24日 20_36_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hatGPT Image 2026年5月24日 20_36_55"/>
                    <pic:cNvPicPr>
                      <a:picLocks noChangeAspect="1"/>
                    </pic:cNvPicPr>
                  </pic:nvPicPr>
                  <pic:blipFill>
                    <a:blip r:embed="rId7"/>
                    <a:srcRect t="1666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B215D">
      <w:pPr>
        <w:numPr>
          <w:ilvl w:val="0"/>
          <w:numId w:val="0"/>
        </w:numPr>
        <w:spacing w:line="240" w:lineRule="auto"/>
        <w:ind w:leftChars="0"/>
        <w:jc w:val="center"/>
        <w:rPr>
          <w:rFonts w:hint="default" w:ascii="Times New Roman" w:hAnsi="Times New Roman" w:eastAsia="Times New Roman" w:cs="Times New Roman"/>
          <w:b/>
          <w:bCs/>
          <w:i w:val="0"/>
          <w:iCs w:val="0"/>
          <w:color w:val="0000FF"/>
          <w:sz w:val="21"/>
          <w:szCs w:val="21"/>
          <w:lang w:val="en-US" w:eastAsia="zh-CN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olor w:val="0000FF"/>
          <w:sz w:val="21"/>
          <w:szCs w:val="21"/>
          <w:lang w:val="en-US" w:eastAsia="zh-CN"/>
        </w:rPr>
        <w:t xml:space="preserve">[Figure 4]Schematic of the hybrid architecture </w:t>
      </w:r>
    </w:p>
    <w:p w14:paraId="0E836202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</w:pPr>
    </w:p>
    <w:p w14:paraId="7F6228C0">
      <w:pPr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3  Software design</w:t>
      </w:r>
    </w:p>
    <w:p w14:paraId="240DA93A">
      <w:pPr>
        <w:spacing w:line="240" w:lineRule="auto"/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 w:eastAsia="zh-CN"/>
        </w:rPr>
        <w:t>3.1  Data upload and configuration of essential parameters</w:t>
      </w:r>
    </w:p>
    <w:p w14:paraId="46B7F1F5">
      <w:pPr>
        <w:numPr>
          <w:ilvl w:val="0"/>
          <w:numId w:val="4"/>
        </w:numPr>
        <w:spacing w:line="24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Two upload modes are supported: (a) single-file mode for a continuous time series with automatic flood event detection, and (b) multi-file mode where each uploaded file corresponds to one flood event.</w:t>
      </w:r>
    </w:p>
    <w:p w14:paraId="3A286B4A">
      <w:pPr>
        <w:numPr>
          <w:ilvl w:val="0"/>
          <w:numId w:val="4"/>
        </w:numPr>
        <w:spacing w:line="24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The system automatically infers the time-step (hourly or daily) by analyzing the median interval between consecutive timestamps; users can override this inference via the sidebar if domain knowledge suggests otherwise.</w:t>
      </w:r>
    </w:p>
    <w:p w14:paraId="28F7A369">
      <w:pPr>
        <w:numPr>
          <w:ilvl w:val="0"/>
          <w:numId w:val="4"/>
        </w:numPr>
        <w:spacing w:line="24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Users configure essential parameters on the sidebar prior to launching the analysis—including catchment area, warm-up period duration, target hydrological model, optimization algorithm, and XGBoost error-correction hyperparameters. This human-in-the-loop design is intentional: it anchors the LLM agent's decisions with domain-specific constraints, preventing misinterpretation or hallucination that could arise from fully autonomous, unguided data interpretation by the LLM.</w:t>
      </w:r>
    </w:p>
    <w:p w14:paraId="38BD6387">
      <w:pPr>
        <w:widowControl w:val="0"/>
        <w:numPr>
          <w:numId w:val="0"/>
        </w:numPr>
        <w:spacing w:line="240" w:lineRule="auto"/>
        <w:jc w:val="both"/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</w:pPr>
    </w:p>
    <w:p w14:paraId="0C0714AC">
      <w:pPr>
        <w:widowControl w:val="0"/>
        <w:numPr>
          <w:numId w:val="0"/>
        </w:numPr>
        <w:spacing w:line="240" w:lineRule="auto"/>
        <w:jc w:val="both"/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</w:pPr>
    </w:p>
    <w:p w14:paraId="2AD22167">
      <w:pPr>
        <w:widowControl w:val="0"/>
        <w:numPr>
          <w:numId w:val="0"/>
        </w:numPr>
        <w:spacing w:line="240" w:lineRule="auto"/>
        <w:jc w:val="both"/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</w:pPr>
      <w:r>
        <w:drawing>
          <wp:inline distT="0" distB="0" distL="114300" distR="114300">
            <wp:extent cx="5267325" cy="2399030"/>
            <wp:effectExtent l="0" t="0" r="9525" b="127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9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5974F">
      <w:pPr>
        <w:numPr>
          <w:ilvl w:val="0"/>
          <w:numId w:val="0"/>
        </w:numPr>
        <w:spacing w:line="240" w:lineRule="auto"/>
        <w:ind w:leftChars="0"/>
        <w:jc w:val="center"/>
        <w:rPr>
          <w:rFonts w:hint="default" w:ascii="Times New Roman" w:hAnsi="Times New Roman" w:eastAsia="Times New Roman" w:cs="Times New Roman"/>
          <w:b/>
          <w:bCs/>
          <w:i w:val="0"/>
          <w:iCs w:val="0"/>
          <w:color w:val="0000FF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olor w:val="0000FF"/>
          <w:sz w:val="21"/>
          <w:szCs w:val="21"/>
        </w:rPr>
        <w:t>[Figure 5] Screenshot of the Streamlit interface illustrating the data upload pane and sidebar configuration panel.</w:t>
      </w:r>
    </w:p>
    <w:p w14:paraId="72D8EB7B">
      <w:pPr>
        <w:spacing w:line="240" w:lineRule="auto"/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 w:eastAsia="zh-CN"/>
        </w:rPr>
        <w:t>3.2  Automated data preprocessing and flood event analysis</w:t>
      </w:r>
    </w:p>
    <w:p w14:paraId="28FF1181">
      <w:pPr>
        <w:numPr>
          <w:ilvl w:val="0"/>
          <w:numId w:val="4"/>
        </w:numPr>
        <w:spacing w:line="24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The system automatically generates a data fingerprint (column types, missing ratios, value ranges) and prompts the LLM to produce cleaning code, which is executed in an isolated isolated execution environment with a deterministic fallback path for reliability.</w:t>
      </w:r>
    </w:p>
    <w:p w14:paraId="1DD825E9">
      <w:pPr>
        <w:numPr>
          <w:ilvl w:val="0"/>
          <w:numId w:val="4"/>
        </w:numPr>
        <w:spacing w:line="24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Baseflow is estimated via a rolling-window minimum filter; flood events are then identified through anomaly extraction with threshold-based boundary detection and peak-flow validation.</w:t>
      </w:r>
    </w:p>
    <w:p w14:paraId="39C52530">
      <w:pPr>
        <w:numPr>
          <w:ilvl w:val="0"/>
          <w:numId w:val="4"/>
        </w:numPr>
        <w:spacing w:line="24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A 4-axis radar chart (completeness, continuity, correlation, quality level) and P-III frequency analysis provide a structured visual summary of data quality, embedded as context for downstream LLM analysis.</w:t>
      </w:r>
    </w:p>
    <w:p w14:paraId="78F7B307">
      <w:pPr>
        <w:widowControl w:val="0"/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1"/>
          <w:szCs w:val="21"/>
        </w:rPr>
      </w:pPr>
    </w:p>
    <w:p w14:paraId="41CD9838">
      <w:pPr>
        <w:numPr>
          <w:ilvl w:val="0"/>
          <w:numId w:val="0"/>
        </w:numPr>
        <w:spacing w:line="240" w:lineRule="auto"/>
        <w:ind w:leftChars="0"/>
        <w:jc w:val="center"/>
        <w:rPr>
          <w:rFonts w:hint="default" w:ascii="Times New Roman" w:hAnsi="Times New Roman" w:eastAsia="Times New Roman" w:cs="Times New Roman"/>
          <w:b/>
          <w:bCs/>
          <w:i w:val="0"/>
          <w:iCs w:val="0"/>
          <w:color w:val="0000FF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olor w:val="0000FF"/>
          <w:sz w:val="21"/>
          <w:szCs w:val="21"/>
        </w:rPr>
        <w:t>[Figure 6] Multi-panel pre-analysis figure: (a) radar chart, (b) P-III curve, (c) precipitation-runoff scatter, (d) hydrograph with flood event annotations.</w:t>
      </w:r>
    </w:p>
    <w:p w14:paraId="472EFBE1">
      <w:pPr>
        <w:numPr>
          <w:ilvl w:val="0"/>
          <w:numId w:val="0"/>
        </w:numPr>
        <w:spacing w:line="240" w:lineRule="auto"/>
        <w:ind w:leftChars="0"/>
        <w:jc w:val="center"/>
        <w:rPr>
          <w:rFonts w:hint="default" w:ascii="Times New Roman" w:hAnsi="Times New Roman" w:eastAsia="Times New Roman" w:cs="Times New Roman"/>
          <w:b/>
          <w:bCs/>
          <w:i w:val="0"/>
          <w:iCs w:val="0"/>
          <w:color w:val="0000FF"/>
          <w:sz w:val="21"/>
          <w:szCs w:val="21"/>
        </w:rPr>
      </w:pPr>
    </w:p>
    <w:p w14:paraId="288ADFF4">
      <w:pPr>
        <w:numPr>
          <w:ilvl w:val="0"/>
          <w:numId w:val="0"/>
        </w:numPr>
        <w:spacing w:line="240" w:lineRule="auto"/>
        <w:ind w:leftChars="0"/>
        <w:jc w:val="center"/>
        <w:rPr>
          <w:rFonts w:hint="default" w:ascii="Times New Roman" w:hAnsi="Times New Roman" w:eastAsia="Times New Roman" w:cs="Times New Roman"/>
          <w:b/>
          <w:bCs/>
          <w:i w:val="0"/>
          <w:iCs w:val="0"/>
          <w:color w:val="0000FF"/>
          <w:sz w:val="21"/>
          <w:szCs w:val="21"/>
        </w:rPr>
      </w:pPr>
    </w:p>
    <w:p w14:paraId="44DD7525">
      <w:pPr>
        <w:spacing w:line="240" w:lineRule="auto"/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 w:eastAsia="zh-CN"/>
        </w:rPr>
        <w:t>3.3  Automated parameter calibration and deep learning coupling</w:t>
      </w:r>
    </w:p>
    <w:p w14:paraId="5446EDC9">
      <w:pPr>
        <w:numPr>
          <w:ilvl w:val="0"/>
          <w:numId w:val="4"/>
        </w:numPr>
        <w:spacing w:line="24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A single abstract interface dispatches calibration tasks to any of the five optimization algorithms; parameter bounds are automatically derived from each model’s metadata, and the optimizer is selectable at runtime.</w:t>
      </w:r>
    </w:p>
    <w:p w14:paraId="1E75C037">
      <w:pPr>
        <w:numPr>
          <w:ilvl w:val="0"/>
          <w:numId w:val="4"/>
        </w:numPr>
        <w:spacing w:line="24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Pure computational model engines are cleanly separated from calibration logic and user-interface code via abstraction layers, ensuring that new models can be integrated without modifying the optimization or visualization layers.</w:t>
      </w:r>
    </w:p>
    <w:p w14:paraId="27F4B44B">
      <w:pPr>
        <w:numPr>
          <w:ilvl w:val="0"/>
          <w:numId w:val="4"/>
        </w:numPr>
        <w:spacing w:line="24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After physical calibration, the system automatically trains an XGBoost error corrector on the calibration event set, evaluates it on the held-out validation events, and reports pre-/post-correction metrics (NSE, RMSE, PBIAS).</w:t>
      </w:r>
    </w:p>
    <w:p w14:paraId="6D5FDF63">
      <w:pPr>
        <w:widowControl w:val="0"/>
        <w:numPr>
          <w:numId w:val="0"/>
        </w:numPr>
        <w:spacing w:line="240" w:lineRule="auto"/>
        <w:jc w:val="both"/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</w:pPr>
    </w:p>
    <w:p w14:paraId="6911C00A">
      <w:pPr>
        <w:widowControl w:val="0"/>
        <w:numPr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i/>
          <w:iCs/>
          <w:sz w:val="21"/>
          <w:szCs w:val="21"/>
          <w:lang w:eastAsia="zh-CN"/>
        </w:rPr>
      </w:pPr>
    </w:p>
    <w:p w14:paraId="3632ECA8">
      <w:pPr>
        <w:widowControl w:val="0"/>
        <w:numPr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i/>
          <w:iCs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eastAsia="zh-CN"/>
        </w:rPr>
        <w:drawing>
          <wp:inline distT="0" distB="0" distL="114300" distR="114300">
            <wp:extent cx="5274310" cy="6586855"/>
            <wp:effectExtent l="0" t="0" r="0" b="0"/>
            <wp:docPr id="7" name="图片 7" descr="ChatGPT Image 2026年5月24日 20_39_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hatGPT Image 2026年5月24日 20_39_55"/>
                    <pic:cNvPicPr>
                      <a:picLocks noChangeAspect="1"/>
                    </pic:cNvPicPr>
                  </pic:nvPicPr>
                  <pic:blipFill>
                    <a:blip r:embed="rId9"/>
                    <a:srcRect t="339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8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515C">
      <w:pPr>
        <w:numPr>
          <w:ilvl w:val="0"/>
          <w:numId w:val="0"/>
        </w:numPr>
        <w:spacing w:line="240" w:lineRule="auto"/>
        <w:ind w:leftChars="0"/>
        <w:jc w:val="center"/>
        <w:rPr>
          <w:rFonts w:hint="default" w:ascii="Times New Roman" w:hAnsi="Times New Roman" w:eastAsia="Times New Roman" w:cs="Times New Roman"/>
          <w:b/>
          <w:bCs/>
          <w:i w:val="0"/>
          <w:iCs w:val="0"/>
          <w:color w:val="0000FF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olor w:val="0000FF"/>
          <w:sz w:val="21"/>
          <w:szCs w:val="21"/>
        </w:rPr>
        <w:t>[Figure 7] Layered architecture diagram: UI → Agent → Calibration Core → Model Engines.</w:t>
      </w:r>
    </w:p>
    <w:p w14:paraId="66A204E6">
      <w:pPr>
        <w:spacing w:line="240" w:lineRule="auto"/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 w:eastAsia="zh-CN"/>
        </w:rPr>
        <w:t>3.4  Visualization and intelligent report generation</w:t>
      </w:r>
    </w:p>
    <w:p w14:paraId="483108EA">
      <w:pPr>
        <w:numPr>
          <w:ilvl w:val="0"/>
          <w:numId w:val="4"/>
        </w:numPr>
        <w:spacing w:line="24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Multi-panel plots juxtapose observed, simulated, and post-correction hydrographs for both calibration and validation events, enabling rapid visual assessment of model performance.</w:t>
      </w:r>
    </w:p>
    <w:p w14:paraId="0A2F07D0">
      <w:pPr>
        <w:numPr>
          <w:ilvl w:val="0"/>
          <w:numId w:val="4"/>
        </w:numPr>
        <w:spacing w:line="24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A ranked summary table displays NSE, RMSE, MAE, and PBIAS per model with per-event breakdown statistics, facilitating systematic model intercomparison.</w:t>
      </w:r>
    </w:p>
    <w:p w14:paraId="208A560A">
      <w:pPr>
        <w:numPr>
          <w:ilvl w:val="0"/>
          <w:numId w:val="4"/>
        </w:numPr>
        <w:spacing w:line="24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The system produces four types of structured reports—data pre-analysis, calibration evaluation, comprehensive summary, and overfitting diagnosis—with content generated by the LLM informed by both numerical metrics and embedded visualizations.</w:t>
      </w:r>
    </w:p>
    <w:p w14:paraId="4E201BED">
      <w:pPr>
        <w:numPr>
          <w:ilvl w:val="0"/>
          <w:numId w:val="4"/>
        </w:numPr>
        <w:spacing w:line="24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Key diagnostic figures are serialized as encoded as images and injected into LLM prompts, allowing the language model to reason about visual patterns alongside numerical summaries.</w:t>
      </w:r>
    </w:p>
    <w:p w14:paraId="5D142348">
      <w:pPr>
        <w:numPr>
          <w:ilvl w:val="0"/>
          <w:numId w:val="4"/>
        </w:numPr>
        <w:spacing w:line="24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When the external LLM service is unreachable, the platform automatically falls back to a template-based report generated directly from computed metrics, ensuring operational reliability.</w:t>
      </w:r>
    </w:p>
    <w:p w14:paraId="284DD5EE">
      <w:pPr>
        <w:widowControl w:val="0"/>
        <w:numPr>
          <w:numId w:val="0"/>
        </w:numPr>
        <w:spacing w:line="240" w:lineRule="auto"/>
        <w:jc w:val="center"/>
        <w:rPr>
          <w:rFonts w:hint="eastAsia" w:ascii="Times New Roman" w:hAnsi="Times New Roman" w:cs="Times New Roman" w:eastAsiaTheme="minorEastAsia"/>
          <w:sz w:val="21"/>
          <w:szCs w:val="21"/>
          <w:lang w:eastAsia="zh-CN"/>
        </w:rPr>
      </w:pPr>
      <w:bookmarkStart w:id="0" w:name="_GoBack"/>
      <w:r>
        <w:rPr>
          <w:rFonts w:hint="eastAsia" w:ascii="Times New Roman" w:hAnsi="Times New Roman" w:cs="Times New Roman" w:eastAsiaTheme="minorEastAsia"/>
          <w:sz w:val="21"/>
          <w:szCs w:val="21"/>
          <w:lang w:eastAsia="zh-CN"/>
        </w:rPr>
        <w:drawing>
          <wp:inline distT="0" distB="0" distL="114300" distR="114300">
            <wp:extent cx="3637915" cy="5082540"/>
            <wp:effectExtent l="0" t="0" r="635" b="3810"/>
            <wp:docPr id="9" name="图片 9" descr="ChatGPT Image 2026年5月24日 20_46_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hatGPT Image 2026年5月24日 20_46_33"/>
                    <pic:cNvPicPr>
                      <a:picLocks noChangeAspect="1"/>
                    </pic:cNvPicPr>
                  </pic:nvPicPr>
                  <pic:blipFill>
                    <a:blip r:embed="rId10"/>
                    <a:srcRect t="6888"/>
                    <a:stretch>
                      <a:fillRect/>
                    </a:stretch>
                  </pic:blipFill>
                  <pic:spPr>
                    <a:xfrm>
                      <a:off x="0" y="0"/>
                      <a:ext cx="3637915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5B08F45">
      <w:pPr>
        <w:numPr>
          <w:ilvl w:val="0"/>
          <w:numId w:val="0"/>
        </w:numPr>
        <w:spacing w:line="240" w:lineRule="auto"/>
        <w:ind w:leftChars="0"/>
        <w:jc w:val="center"/>
        <w:rPr>
          <w:rFonts w:hint="default" w:ascii="Times New Roman" w:hAnsi="Times New Roman" w:eastAsia="Times New Roman" w:cs="Times New Roman"/>
          <w:b/>
          <w:bCs/>
          <w:i w:val="0"/>
          <w:iCs w:val="0"/>
          <w:color w:val="0000FF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olor w:val="0000FF"/>
          <w:sz w:val="21"/>
          <w:szCs w:val="21"/>
        </w:rPr>
        <w:t>[Figure 8] Visual-aware LLM prompting pipeline architecture.</w:t>
      </w:r>
    </w:p>
    <w:p w14:paraId="6043154C">
      <w:pPr>
        <w:spacing w:line="240" w:lineRule="auto"/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</w:pPr>
    </w:p>
    <w:p w14:paraId="0668D119">
      <w:pPr>
        <w:spacing w:line="240" w:lineRule="auto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</w:p>
    <w:p w14:paraId="381697DA">
      <w:pPr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4  Examples</w:t>
      </w:r>
    </w:p>
    <w:p w14:paraId="6C7A381D">
      <w:pPr>
        <w:spacing w:line="240" w:lineRule="auto"/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 w:eastAsia="zh-CN"/>
        </w:rPr>
        <w:t xml:space="preserve">4.1  Case 1: Small-sample calibration (3 events) </w:t>
      </w:r>
    </w:p>
    <w:p w14:paraId="16618715">
      <w:pPr>
        <w:numPr>
          <w:ilvl w:val="0"/>
          <w:numId w:val="4"/>
        </w:numPr>
        <w:spacing w:line="240" w:lineRule="auto"/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Three flood events from watershed A5 represent a data-scarce scenario typical of ungauged or poorly gauged basins—a common operational challenge where only a handful of observed floods are available for calibration.</w:t>
      </w:r>
    </w:p>
    <w:p w14:paraId="48CED6CC">
      <w:pPr>
        <w:numPr>
          <w:ilvl w:val="0"/>
          <w:numId w:val="4"/>
        </w:numPr>
        <w:spacing w:line="240" w:lineRule="auto"/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Given the limited sample size, a leave-one-event-out cross-validation scheme is adopted: 2 events are used for calibration and the remaining 1 event is held out for validation, with this procedure rotated across all three events. XGBoost error correction is evaluated in oracle mode, as the small sample precludes reliable training of a recursive corrector.</w:t>
      </w:r>
    </w:p>
    <w:p w14:paraId="1D286444">
      <w:pPr>
        <w:numPr>
          <w:ilvl w:val="0"/>
          <w:numId w:val="4"/>
        </w:numPr>
        <w:spacing w:line="240" w:lineRule="auto"/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Model performance comparison (NSE, KGE, RMSE) across Tank, HBV, and XAJ for each event.</w:t>
      </w:r>
    </w:p>
    <w:p w14:paraId="6480E47F">
      <w:pPr>
        <w:numPr>
          <w:ilvl w:val="0"/>
          <w:numId w:val="4"/>
        </w:numPr>
        <w:spacing w:line="240" w:lineRule="auto"/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Parameter identifiability challenge: 21-parameter XAJ likely underdetermined with only 3 events—demonstrating the need for model parsimony in small-sample settings.</w:t>
      </w:r>
    </w:p>
    <w:p w14:paraId="3033F92F">
      <w:pPr>
        <w:numPr>
          <w:ilvl w:val="0"/>
          <w:numId w:val="4"/>
        </w:numPr>
        <w:spacing w:line="240" w:lineRule="auto"/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XGBoost oracle-mode correction NSE improvement (ΔNSE).</w:t>
      </w:r>
    </w:p>
    <w:p w14:paraId="018FA81B">
      <w:pPr>
        <w:numPr>
          <w:ilvl w:val="0"/>
          <w:numId w:val="4"/>
        </w:numPr>
        <w:spacing w:line="240" w:lineRule="auto"/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LLM-generated pre-analysis report highlighting data limitations and recommending cautious interpretation.</w:t>
      </w:r>
    </w:p>
    <w:p w14:paraId="0A726A10">
      <w:pPr>
        <w:widowControl w:val="0"/>
        <w:numPr>
          <w:numId w:val="0"/>
        </w:numPr>
        <w:spacing w:line="240" w:lineRule="auto"/>
        <w:jc w:val="both"/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54980" cy="3936365"/>
            <wp:effectExtent l="0" t="0" r="7620" b="6985"/>
            <wp:docPr id="11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3936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E1651E">
      <w:pPr>
        <w:numPr>
          <w:ilvl w:val="0"/>
          <w:numId w:val="0"/>
        </w:numPr>
        <w:spacing w:line="240" w:lineRule="auto"/>
        <w:ind w:leftChars="0"/>
        <w:jc w:val="center"/>
        <w:rPr>
          <w:rFonts w:hint="default" w:ascii="Times New Roman" w:hAnsi="Times New Roman" w:eastAsia="Times New Roman" w:cs="Times New Roman"/>
          <w:b/>
          <w:bCs/>
          <w:i w:val="0"/>
          <w:iCs w:val="0"/>
          <w:color w:val="0000FF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olor w:val="0000FF"/>
          <w:sz w:val="21"/>
          <w:szCs w:val="21"/>
        </w:rPr>
        <w:t>[Figure 9] (a) 3-panel hydrograph showing observed vs. simulated (best model) vs. XGB-corrected for each of the three events. (b) Radar chart of per-event NSE across models. (c) Parameter sensitivity boxplot for the best model.</w:t>
      </w:r>
    </w:p>
    <w:p w14:paraId="6DCB9F2E">
      <w:pPr>
        <w:spacing w:line="240" w:lineRule="auto"/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 w:eastAsia="zh-CN"/>
        </w:rPr>
        <w:t xml:space="preserve">4.2  Case 2: Large-sample calibration (57 events) </w:t>
      </w:r>
    </w:p>
    <w:p w14:paraId="5A5DF64A">
      <w:pPr>
        <w:numPr>
          <w:ilvl w:val="0"/>
          <w:numId w:val="4"/>
        </w:numPr>
        <w:spacing w:line="240" w:lineRule="auto"/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Fifty-seven flood events spanning a 15-year period, each with multi-day lead time, represent a data-rich operational forecasting scenario with sufficient samples for rigorous calibration-validation splitting and XGBoost training.</w:t>
      </w:r>
    </w:p>
    <w:p w14:paraId="48EF12A8">
      <w:pPr>
        <w:numPr>
          <w:ilvl w:val="0"/>
          <w:numId w:val="4"/>
        </w:numPr>
        <w:spacing w:line="240" w:lineRule="auto"/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Random 75%/25% calibration/validation split by event index (seed=2025). XGBoost error correction trained on calibration events and evaluated on validation events. Five algorithms compared.</w:t>
      </w:r>
    </w:p>
    <w:p w14:paraId="60514299">
      <w:pPr>
        <w:numPr>
          <w:ilvl w:val="0"/>
          <w:numId w:val="4"/>
        </w:numPr>
        <w:spacing w:line="240" w:lineRule="auto"/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Algorithm convergence comparison: Two-Stage vs. PSO vs. SCE-UA vs. DE vs. GA runtime and final NSE distributions.</w:t>
      </w:r>
    </w:p>
    <w:p w14:paraId="4D97C3D3">
      <w:pPr>
        <w:numPr>
          <w:ilvl w:val="0"/>
          <w:numId w:val="4"/>
        </w:numPr>
        <w:spacing w:line="240" w:lineRule="auto"/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Model ranking: which model (Tank/HBV/XAJ) achieves the best calibration NSE and validation NSE, with analysis of overfitting degree (ΔNSE = NSE_valid - NSE_calib).</w:t>
      </w:r>
    </w:p>
    <w:p w14:paraId="648EFA08">
      <w:pPr>
        <w:numPr>
          <w:ilvl w:val="0"/>
          <w:numId w:val="4"/>
        </w:numPr>
        <w:spacing w:line="240" w:lineRule="auto"/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XGBoost error correction: pre- vs. post-correction validation NSE improvement, with statistical significance testing (paired t-test across events).</w:t>
      </w:r>
    </w:p>
    <w:p w14:paraId="0D3F6FF3">
      <w:pPr>
        <w:numPr>
          <w:ilvl w:val="0"/>
          <w:numId w:val="4"/>
        </w:numPr>
        <w:spacing w:line="240" w:lineRule="auto"/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Event-type analysis: performance stratified by flood magnitude (small/medium/large/extreme), peak shape (sharp/rounded/multi-peak), and rainfall-driven intensity.</w:t>
      </w:r>
    </w:p>
    <w:p w14:paraId="65BB5F19">
      <w:pPr>
        <w:numPr>
          <w:ilvl w:val="0"/>
          <w:numId w:val="4"/>
        </w:numPr>
        <w:spacing w:line="240" w:lineRule="auto"/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BMA ensemble vs. best single model comparison.</w:t>
      </w:r>
    </w:p>
    <w:p w14:paraId="6ABEDE58">
      <w:pPr>
        <w:numPr>
          <w:ilvl w:val="0"/>
          <w:numId w:val="4"/>
        </w:numPr>
        <w:spacing w:line="240" w:lineRule="auto"/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LLM comprehensive report covering calibration strategy, model stability analysis, and operational deployment recommendations.</w:t>
      </w:r>
    </w:p>
    <w:p w14:paraId="3D902BF0">
      <w:pPr>
        <w:widowControl w:val="0"/>
        <w:numPr>
          <w:numId w:val="0"/>
        </w:numPr>
        <w:spacing w:line="240" w:lineRule="auto"/>
        <w:jc w:val="both"/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55615" cy="3937635"/>
            <wp:effectExtent l="0" t="0" r="6985" b="5715"/>
            <wp:docPr id="10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5615" cy="3937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5CC6DB">
      <w:pPr>
        <w:numPr>
          <w:ilvl w:val="0"/>
          <w:numId w:val="0"/>
        </w:numPr>
        <w:spacing w:line="240" w:lineRule="auto"/>
        <w:ind w:leftChars="0"/>
        <w:jc w:val="center"/>
        <w:rPr>
          <w:rFonts w:hint="default" w:ascii="Times New Roman" w:hAnsi="Times New Roman" w:eastAsia="Times New Roman" w:cs="Times New Roman"/>
          <w:b/>
          <w:bCs/>
          <w:i w:val="0"/>
          <w:iCs w:val="0"/>
          <w:color w:val="0000FF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olor w:val="0000FF"/>
          <w:sz w:val="21"/>
          <w:szCs w:val="21"/>
        </w:rPr>
        <w:t>[Figure 10] (a) Boxplot of NSE distribution across 57 events for each model (calibration vs. validation). (b) Algorithm convergence curves (objective function vs. iterations). (c) Pre- vs. post-XGB correction scatter plot. (d) Heatmap of NSE by flood magnitude × model. (e) Taylor diagram comparing all model+correction combinations.</w:t>
      </w:r>
    </w:p>
    <w:p w14:paraId="06965684">
      <w:pPr>
        <w:spacing w:line="240" w:lineRule="auto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</w:p>
    <w:p w14:paraId="3364094D">
      <w:pPr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5  Conclusion and Future work</w:t>
      </w:r>
    </w:p>
    <w:p w14:paraId="77F89FB2">
      <w:pPr>
        <w:spacing w:before="120" w:line="24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b/>
          <w:i/>
          <w:iCs/>
          <w:sz w:val="21"/>
          <w:szCs w:val="21"/>
        </w:rPr>
        <w:t>Summary of Contributions</w:t>
      </w:r>
    </w:p>
    <w:p w14:paraId="6138C068">
      <w:pPr>
        <w:numPr>
          <w:ilvl w:val="0"/>
          <w:numId w:val="4"/>
        </w:numPr>
        <w:spacing w:line="240" w:lineRule="auto"/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A fully operational, LLM-agent-guided platform that automates the complete hydrological model calibration lifecycle.</w:t>
      </w:r>
    </w:p>
    <w:p w14:paraId="0D4B6A33">
      <w:pPr>
        <w:numPr>
          <w:ilvl w:val="0"/>
          <w:numId w:val="4"/>
        </w:numPr>
        <w:spacing w:line="240" w:lineRule="auto"/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Flood semantic encoding as a novel bridge between numerical hydrograph data and LLM reasoning—enabling LLM agents to interpret flood events through structured, hydrologically meaningful feature vectors.</w:t>
      </w:r>
    </w:p>
    <w:p w14:paraId="0C7C554A">
      <w:pPr>
        <w:numPr>
          <w:ilvl w:val="0"/>
          <w:numId w:val="4"/>
        </w:numPr>
        <w:spacing w:line="240" w:lineRule="auto"/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Empirical demonstration that XGBoost error correction with error-lag and precipitation-lag features consistently improves NSE, particularly for held-out validation events, validating the hybrid physics-ML paradigm in an operational context.</w:t>
      </w:r>
    </w:p>
    <w:p w14:paraId="608A0CAB">
      <w:pPr>
        <w:spacing w:before="120" w:line="24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b/>
          <w:i/>
          <w:iCs/>
          <w:sz w:val="21"/>
          <w:szCs w:val="21"/>
        </w:rPr>
        <w:t>Current Limitations</w:t>
      </w:r>
    </w:p>
    <w:p w14:paraId="28F20646">
      <w:pPr>
        <w:numPr>
          <w:ilvl w:val="0"/>
          <w:numId w:val="4"/>
        </w:numPr>
        <w:spacing w:line="240" w:lineRule="auto"/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The model library is currently restricted to three lumped conceptual models (Tank, HBV, Xinanjiang), lacking support for semi-distributed or fully distributed hydrological models that are widely adopted in operational agencies.</w:t>
      </w:r>
    </w:p>
    <w:p w14:paraId="28320146">
      <w:pPr>
        <w:numPr>
          <w:ilvl w:val="0"/>
          <w:numId w:val="4"/>
        </w:numPr>
        <w:spacing w:line="240" w:lineRule="auto"/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The deep learning coupling is limited to a single XGBoost-based error corrector; more advanced paradigms such as differentiable programming, physics-informed neural networks, or sequence-to-sequence residual learning remain unexplored.</w:t>
      </w:r>
    </w:p>
    <w:p w14:paraId="1687A31D">
      <w:pPr>
        <w:numPr>
          <w:ilvl w:val="0"/>
          <w:numId w:val="4"/>
        </w:numPr>
        <w:spacing w:line="240" w:lineRule="auto"/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Reliance on a cloud-based commercial LLM (a commercial LLM service) introduces latency, recurring API costs, and data privacy concerns, particularly problematic for hydrological agencies handling sensitive watershed data.</w:t>
      </w:r>
    </w:p>
    <w:p w14:paraId="0D8E7E94">
      <w:pPr>
        <w:numPr>
          <w:ilvl w:val="0"/>
          <w:numId w:val="4"/>
        </w:numPr>
        <w:spacing w:line="240" w:lineRule="auto"/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The platform operates as a single-site offline calibration tool without integration of real-time sensor data streams, precluding continuous model updating in operational digital twin frameworks.</w:t>
      </w:r>
    </w:p>
    <w:p w14:paraId="6050CD56">
      <w:pPr>
        <w:numPr>
          <w:ilvl w:val="0"/>
          <w:numId w:val="4"/>
        </w:numPr>
        <w:spacing w:line="240" w:lineRule="auto"/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Uncertainty quantification is limited to BMA ensemble spread; full Bayesian inference for posterior parameter distributions and predictive uncertainty is absent.</w:t>
      </w:r>
    </w:p>
    <w:p w14:paraId="5BE55101">
      <w:pPr>
        <w:spacing w:before="120" w:line="24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b/>
          <w:i/>
          <w:iCs/>
          <w:sz w:val="21"/>
          <w:szCs w:val="21"/>
        </w:rPr>
        <w:t>Future Work</w:t>
      </w:r>
    </w:p>
    <w:p w14:paraId="48C63BF5">
      <w:pPr>
        <w:numPr>
          <w:ilvl w:val="0"/>
          <w:numId w:val="4"/>
        </w:numPr>
        <w:spacing w:line="240" w:lineRule="auto"/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Extend the model portfolio beyond lumped conceptual models to include semi-distributed (e.g., TOPMODEL, HEC-HMS) and fully distributed (e.g., MIKE SHE, WRF-Hydro) hydrological models, enabling the platform to serve a broader range of watershed scales and operational contexts.</w:t>
      </w:r>
    </w:p>
    <w:p w14:paraId="74438D4F">
      <w:pPr>
        <w:numPr>
          <w:ilvl w:val="0"/>
          <w:numId w:val="4"/>
        </w:numPr>
        <w:spacing w:line="240" w:lineRule="auto"/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Integrate more sophisticated physics-ML hybrid paradigms, including differentiable programming that embeds conceptual model equations into trainable neural architectures, and physics-informed neural networks that enforce mass conservation as soft constraints.</w:t>
      </w:r>
    </w:p>
    <w:p w14:paraId="1A26AD3F">
      <w:pPr>
        <w:numPr>
          <w:ilvl w:val="0"/>
          <w:numId w:val="4"/>
        </w:numPr>
        <w:spacing w:line="240" w:lineRule="auto"/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Deploy locally hosted open-source LLMs fine-tuned on hydrological-domain corpora (calibration reports, flood analysis literature, hydrology textbooks) to enhance domain-specific reasoning while eliminating latency, API costs, and data privacy risks associated with cloud-based services.</w:t>
      </w:r>
    </w:p>
    <w:p w14:paraId="75551803">
      <w:pPr>
        <w:numPr>
          <w:ilvl w:val="0"/>
          <w:numId w:val="4"/>
        </w:numPr>
        <w:spacing w:line="240" w:lineRule="auto"/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Couple the platform with real-time hydrological sensor networks to enable continuous auto-recalibration as new flood events are observed, forming a self-evolving component within watershed digital twin frameworks.</w:t>
      </w:r>
    </w:p>
    <w:p w14:paraId="0E8D7CEC">
      <w:pPr>
        <w:numPr>
          <w:ilvl w:val="0"/>
          <w:numId w:val="4"/>
        </w:numPr>
        <w:spacing w:line="240" w:lineRule="auto"/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Integrate full Bayesian inference methods (MCMC, variational inference) to characterize posterior parameter distributions and provide predictive uncertainty bounds alongside deterministic forecasts, enhancing risk-informed decision-making.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Cousi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sine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C61FAE"/>
    <w:multiLevelType w:val="multilevel"/>
    <w:tmpl w:val="A2C61FA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B75CB8C5"/>
    <w:multiLevelType w:val="multilevel"/>
    <w:tmpl w:val="B75CB8C5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020761CC"/>
    <w:multiLevelType w:val="singleLevel"/>
    <w:tmpl w:val="020761C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3D61E41C"/>
    <w:multiLevelType w:val="multilevel"/>
    <w:tmpl w:val="3D61E41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914626"/>
    <w:rsid w:val="19CB21C3"/>
    <w:rsid w:val="2EE9170B"/>
    <w:rsid w:val="79995521"/>
    <w:rsid w:val="7D0F6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Emphasis"/>
    <w:basedOn w:val="3"/>
    <w:qFormat/>
    <w:uiPriority w:val="0"/>
    <w:rPr>
      <w:i/>
    </w:rPr>
  </w:style>
  <w:style w:type="character" w:styleId="6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3253</Words>
  <Characters>21143</Characters>
  <Lines>0</Lines>
  <Paragraphs>0</Paragraphs>
  <TotalTime>40</TotalTime>
  <ScaleCrop>false</ScaleCrop>
  <LinksUpToDate>false</LinksUpToDate>
  <CharactersWithSpaces>24135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2026-05-21T11:48:00Z</dcterms:created>
  <dc:creator>DELL</dc:creator>
  <cp:lastModifiedBy>罗祺耀</cp:lastModifiedBy>
  <dcterms:modified xsi:type="dcterms:W3CDTF">2026-05-24T13:21:05Z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eyJoZGlkIjoiNTFmNTYwNDkxYjRkMzQ4MTk4NDgzYmQ5OWM4NzZiMWIiLCJ1c2VySWQiOiIxNjY3Mzc1NDMwIn0=</vt:lpwstr>
  </property>
  <property fmtid="{D5CDD505-2E9C-101B-9397-08002B2CF9AE}" pid="4" name="ICV">
    <vt:lpwstr>AA8DEF48ECDE480F81F0BAEB5AA7E363_12</vt:lpwstr>
  </property>
</Properties>
</file>