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GIS Agent 大模型复杂空间问题验证方案</w:t>
      </w:r>
    </w:p>
    <w:p>
      <w:pPr>
        <w:pStyle w:val="Normal"/>
      </w:pPr>
      <w:r>
        <w:t xml:space="preserve">基于 PostGIS 的多步规划与执行评测</w:t>
      </w:r>
    </w:p>
    <w:p>
      <w:pPr>
        <w:pStyle w:val="Normal"/>
      </w:pPr>
      <w:r>
        <w:t xml:space="preserve">版本 2.0    编制日期 2026 年 10 月 15 日</w:t>
      </w:r>
    </w:p>
    <w:p>
      <w:pPr>
        <w:pStyle w:val="Normal"/>
      </w:pPr>
      <w:r>
        <w:t xml:space="preserve">本阶段验证大模型能否把燃气、水务等业务问题转化为可检查、可执行的空间分析计划。评测覆盖对象与条件识别、工具组合、步骤依赖、中间结果复用、空间计算以及条件不足时的处理。</w:t>
      </w:r>
    </w:p>
    <w:p>
      <w:pPr>
        <w:pStyle w:val="Normal"/>
      </w:pPr>
      <w:r>
        <w:t xml:space="preserve">主要分析环境采用 PostgreSQL 与 PostGIS Geometry。燃气、水务、设备和施工区作为同一数据库中的不同业务图层，用于研究跨图层规划。真实 GIS 平台接口、生产数据接入、管网拓扑与栅格分析另行安排专项验证。</w:t>
      </w:r>
    </w:p>
    <w:p>
      <w:pPr>
        <w:pStyle w:val="Heading2"/>
      </w:pPr>
      <w:r>
        <w:t xml:space="preserve">本轮工作安排</w:t>
      </w:r>
    </w:p>
    <w:p>
      <w:pPr>
        <w:pStyle w:val="Normal"/>
      </w:pPr>
      <w:r>
        <w:t xml:space="preserve">先明确数据和工具合同，再用人工计划验证执行器；随后开展 20 道开发调试题，冻结版本后对 60 道独立正式任务开展评测。正式题与开发题按分析结构划分，避免仅换地名、换数字形成表面上的新题。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00"/>
        <w:gridCol w:w="7280"/>
      </w:tblGrid>
      <w:tr>
        <w:trPr>
          <w:cantSplit/>
          <w:tblHeader/>
        </w:trPr>
        <w:tc>
          <w:tcPr>
            <w:tcW w:w="28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项目</w:t>
            </w:r>
          </w:p>
        </w:tc>
        <w:tc>
          <w:tcPr>
            <w:tcW w:w="728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本阶段约定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研究对象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固定数据与工具条件下的大模型空间问题规划能力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核心难度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L2 多约束分析与 L3 多分支依赖分析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主要证据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结构化计划、执行轨迹、中间结果和独立标准答案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两类实验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计划正确性评测与实际执行评测，分别记录结果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开发规模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20 道调试题，用于发现实现问题，不计入正式成绩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正式规模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60 道独立任务；另取 20 道复杂题开展语言改写实验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结果状态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正常完成、待澄清、条件不足、执行失败分别报告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Heading2"/>
      </w:pPr>
      <w:r>
        <w:t xml:space="preserve">与课题需求的关系</w:t>
      </w:r>
    </w:p>
    <w:p>
      <w:pPr>
        <w:pStyle w:val="Normal"/>
      </w:pPr>
      <w:r>
        <w:t xml:space="preserve">需求提出的意图识别准确率不低于 85%、简单问答响应不超过 25 秒，以及复杂多平台分析处理不超过 60 秒，继续保留为后续对照指标。复杂规划正确率需要单独定义，不能由意图识别准确率替代。单库多图层实验形成的结果，也不能直接作为真实多平台适配已经完成的证据。</w:t>
      </w:r>
    </w:p>
    <w:p>
      <w:pPr>
        <w:pStyle w:val="Heading1"/>
        <w:pageBreakBefore/>
      </w:pPr>
      <w:r>
        <w:t xml:space="preserve">01 当前实现与评测边界</w:t>
      </w:r>
    </w:p>
    <w:p>
      <w:pPr>
        <w:pStyle w:val="Normal"/>
      </w:pPr>
      <w:r>
        <w:t xml:space="preserve">本节依据本轮检查的 registry.py、schemas.py、llm_agent.py、deterministic.py、compare.py 和 graph.py 描述当前基线。以下拟新增能力属于实施规划。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700"/>
        <w:gridCol w:w="4200"/>
        <w:gridCol w:w="3180"/>
      </w:tblGrid>
      <w:tr>
        <w:trPr>
          <w:cantSplit/>
          <w:tblHeader/>
        </w:trPr>
        <w:tc>
          <w:tcPr>
            <w:tcW w:w="27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当前注册工具</w:t>
            </w:r>
          </w:p>
        </w:tc>
        <w:tc>
          <w:tcPr>
            <w:tcW w:w="42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已封装的能力</w:t>
            </w:r>
          </w:p>
        </w:tc>
        <w:tc>
          <w:tcPr>
            <w:tcW w:w="318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当前可验证内容</w:t>
            </w:r>
          </w:p>
        </w:tc>
      </w:tr>
      <w:tr>
        <w:trPr>
          <w:cantSplit/>
        </w:trPr>
        <w:tc>
          <w:tcPr>
            <w:tcW w:w="27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list_spatial_layers</w:t>
            </w:r>
          </w:p>
        </w:tc>
        <w:tc>
          <w:tcPr>
            <w:tcW w:w="4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图层元信息与记录数</w:t>
            </w:r>
          </w:p>
        </w:tc>
        <w:tc>
          <w:tcPr>
            <w:tcW w:w="31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工具选择、数据发现</w:t>
            </w:r>
          </w:p>
        </w:tc>
      </w:tr>
      <w:tr>
        <w:trPr>
          <w:cantSplit/>
        </w:trPr>
        <w:tc>
          <w:tcPr>
            <w:tcW w:w="27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describe_spatial_layer</w:t>
            </w:r>
          </w:p>
        </w:tc>
        <w:tc>
          <w:tcPr>
            <w:tcW w:w="4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字段、坐标系、样例</w:t>
            </w:r>
          </w:p>
        </w:tc>
        <w:tc>
          <w:tcPr>
            <w:tcW w:w="31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图层识别、字段理解</w:t>
            </w:r>
          </w:p>
        </w:tc>
      </w:tr>
      <w:tr>
        <w:trPr>
          <w:cantSplit/>
        </w:trPr>
        <w:tc>
          <w:tcPr>
            <w:tcW w:w="27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spatial_filter</w:t>
            </w:r>
          </w:p>
        </w:tc>
        <w:tc>
          <w:tcPr>
            <w:tcW w:w="4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相交、内部、包含筛选</w:t>
            </w:r>
          </w:p>
        </w:tc>
        <w:tc>
          <w:tcPr>
            <w:tcW w:w="31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空间关系和目标参数</w:t>
            </w:r>
          </w:p>
        </w:tc>
      </w:tr>
      <w:tr>
        <w:trPr>
          <w:cantSplit/>
        </w:trPr>
        <w:tc>
          <w:tcPr>
            <w:tcW w:w="27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buffer_query</w:t>
            </w:r>
          </w:p>
        </w:tc>
        <w:tc>
          <w:tcPr>
            <w:tcW w:w="4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缓冲区生成与相交查询</w:t>
            </w:r>
          </w:p>
        </w:tc>
        <w:tc>
          <w:tcPr>
            <w:tcW w:w="31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缓冲距离与查询对象</w:t>
            </w:r>
          </w:p>
        </w:tc>
      </w:tr>
      <w:tr>
        <w:trPr>
          <w:cantSplit/>
        </w:trPr>
        <w:tc>
          <w:tcPr>
            <w:tcW w:w="27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clip_and_measure</w:t>
            </w:r>
          </w:p>
        </w:tc>
        <w:tc>
          <w:tcPr>
            <w:tcW w:w="4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裁剪、长度或面积、合计</w:t>
            </w:r>
          </w:p>
        </w:tc>
        <w:tc>
          <w:tcPr>
            <w:tcW w:w="31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裁剪测量任务路由</w:t>
            </w:r>
          </w:p>
        </w:tc>
      </w:tr>
      <w:tr>
        <w:trPr>
          <w:cantSplit/>
        </w:trPr>
        <w:tc>
          <w:tcPr>
            <w:tcW w:w="27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nearest_features</w:t>
            </w:r>
          </w:p>
        </w:tc>
        <w:tc>
          <w:tcPr>
            <w:tcW w:w="4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查询点、距离限制、最近邻</w:t>
            </w:r>
          </w:p>
        </w:tc>
        <w:tc>
          <w:tcPr>
            <w:tcW w:w="31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坐标、数量和邻近参数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Normal"/>
      </w:pPr>
      <w:r>
        <w:t xml:space="preserve">llm_agent.py 的提示词要求每次选择一个工具，代码只读取 tool_calls[0]。因此当前实验首先衡量单次工具选择与参数生成。工具内部即使执行多个 SQL 函数，也不能据此认定这些步骤由模型自主规划。</w:t>
      </w:r>
    </w:p>
    <w:p>
      <w:pPr>
        <w:pStyle w:val="Normal"/>
      </w:pPr>
      <w:r>
        <w:t xml:space="preserve">execute_plan() 可以顺序遍历调用列表，但尚未定义跨步骤结果引用、结果类型检查和分支汇总。graph.py 当前为 plan、execute_tools、summarize 的单次流程。多步工具调用、依赖解析与执行反馈修正需要分别建设和验证。</w:t>
      </w:r>
    </w:p>
    <w:p>
      <w:pPr>
        <w:pStyle w:val="Normal"/>
      </w:pPr>
      <w:r>
        <w:t xml:space="preserve">compare.py 已通过 Pydantic 补齐默认参数后比较，但仍只读取第一次调用。现有关键结果比较也只覆盖部分编码或汇总值，适合保留为基础回归，不能直接承担复杂任务的完整判定。</w:t>
      </w:r>
    </w:p>
    <w:p>
      <w:pPr>
        <w:pStyle w:val="Heading2"/>
      </w:pPr>
      <w:r>
        <w:t xml:space="preserve">正式执行评测的前置条件</w:t>
      </w:r>
    </w:p>
    <w:p>
      <w:pPr>
        <w:pStyle w:val="Normal"/>
      </w:pPr>
      <w:r>
        <w:t xml:space="preserve">所选题目的必要工具已提供；人工计划能够通过同一执行器完成；中间结果可引用且不受展示条数限制；输出字段与单位已明确；独立标准答案已审核。未满足条件的题目登记为系统能力缺口，并保留在能力清单中，不能直接归因为模型规划错误。</w:t>
      </w:r>
    </w:p>
    <w:p>
      <w:pPr>
        <w:pStyle w:val="Heading1"/>
        <w:pageBreakBefore/>
      </w:pPr>
      <w:r>
        <w:t xml:space="preserve">02 可组合工具与执行合同</w:t>
      </w:r>
    </w:p>
    <w:p>
      <w:pPr>
        <w:pStyle w:val="Normal"/>
      </w:pPr>
      <w:r>
        <w:t xml:space="preserve">保留现有六个工具作为业务能力对照。复杂规划实验补充可组合操作，工具以稳定输入输出为边界，不要求把每个 PostGIS 函数单独包装。下表是拟提供的能力范围，最终工具名称和入参仍需在实现时确定。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50"/>
        <w:gridCol w:w="5200"/>
        <w:gridCol w:w="3130"/>
      </w:tblGrid>
      <w:tr>
        <w:trPr>
          <w:cantSplit/>
          <w:tblHeader/>
        </w:trPr>
        <w:tc>
          <w:tcPr>
            <w:tcW w:w="175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能力</w:t>
            </w:r>
          </w:p>
        </w:tc>
        <w:tc>
          <w:tcPr>
            <w:tcW w:w="52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输入与输出</w:t>
            </w:r>
          </w:p>
        </w:tc>
        <w:tc>
          <w:tcPr>
            <w:tcW w:w="313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主要语义要求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查询与属性筛选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图层或要素集 → 要素集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白名单字段、条件类型和空值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空间筛选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要素集与目标几何 → 子集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关系方向、边界处理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缓冲区生成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几何集与距离 → 面集合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CRS、距离单位、误差设置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几何合并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几何集合 → 联合几何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消除覆盖范围重叠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交集差集与裁剪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两组几何 → 交集或剩余部分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保留原对象标识与来源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类型提取与去重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混合几何或对象集 → 结果集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点线面区分、对象与位置去重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测量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几何集 → 数值明细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长度和面积单位分别标注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分组与排序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明细与分组规则 → 统计表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分组键、聚合与重复计数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结果关联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两张结果表 → 关联结果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关联键及一对多关系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邻近与最近邻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对象集与参照对象 → 距离结果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最短距离、半径和并列规则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几何检查与坐标转换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几何集与处理规则 → 几何集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不以修改 SRID 标记代替转换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Heading2"/>
      </w:pPr>
      <w:r>
        <w:t xml:space="preserve">中间结果的管理</w:t>
      </w:r>
    </w:p>
    <w:p>
      <w:pPr>
        <w:pStyle w:val="Normal"/>
      </w:pPr>
      <w:r>
        <w:t xml:space="preserve">执行器保存完整结果，并为结果分配句柄。每个结果声明 FeatureSet、GeometrySet、Scalar 或 Table 等类型，同时记录 CRS、单位、来源标识和是否完整。后续步骤通过引用取得结果，不要求模型复制整段 GeoJSON。</w:t>
      </w:r>
    </w:p>
    <w:p>
      <w:pPr>
        <w:pStyle w:val="Normal"/>
      </w:pPr>
      <w:r>
        <w:t xml:space="preserve">展示给模型的前 20 条样例只是预览。裁剪、联合覆盖和全量统计使用完整句柄；如果上游只返回截取后的列表，不能把它当作全量结果继续计算。最终 JSON 或表格保留可追溯的业务编码。</w:t>
      </w:r>
    </w:p>
    <w:p>
      <w:pPr>
        <w:pStyle w:val="Normal"/>
      </w:pPr>
      <w:r>
        <w:t xml:space="preserve">第一版执行器按依赖顺序串行运行即可。独立分支关系必须能表达；实际并发执行与提速效果作为后续单独实验，不以程序是否同时运行作为规划正确性的唯一依据。</w:t>
      </w:r>
    </w:p>
    <w:p>
      <w:pPr>
        <w:pStyle w:val="Heading1"/>
        <w:pageBreakBefore/>
      </w:pPr>
      <w:r>
        <w:t xml:space="preserve">03 多步计划的结构与实例</w:t>
      </w:r>
    </w:p>
    <w:p>
      <w:pPr>
        <w:pStyle w:val="Normal"/>
      </w:pPr>
      <w:r>
        <w:t xml:space="preserve">建议计划包含 status、steps 和 final_outputs。status 可取 ready、needs_clarification、unsupported；后二者分别附带明确问题或缺失条件。ready 状态的每一步包含 id、op、arguments、depends_on 和 output_type。操作名必须来自注册表，依赖必须存在且无环。</w:t>
      </w:r>
    </w:p>
    <w:p>
      <w:pPr>
        <w:pStyle w:val="Normal"/>
      </w:pPr>
      <w:r>
        <w:t xml:space="preserve">结果引用使用单独的结构，例如 {"result_ref":"s2"}。执行器先解析引用，再校验参数。新增引用类型需要扩展当前 schemas.py，不能把该结构直接交给现有 TargetGeometry。每个步骤只描述可观察的分析目的与输入输出，不要求模型提供隐藏思维过程。</w:t>
      </w:r>
    </w:p>
    <w:p>
      <w:pPr>
        <w:pStyle w:val="Heading2"/>
      </w:pPr>
      <w:r>
        <w:t xml:space="preserve">示例任务</w:t>
      </w:r>
    </w:p>
    <w:p>
      <w:pPr>
        <w:pStyle w:val="Normal"/>
      </w:pPr>
      <w:r>
        <w:t xml:space="preserve">查询 A001 内距离水务管线不超过 50 米的燃气管段，按燃气管线编码汇总受影响长度并降序排列。同一管段受多条水管影响时只计一次。距离按本实验 EPSG:3857 平面坐标计算。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900"/>
        <w:gridCol w:w="2600"/>
        <w:gridCol w:w="3650"/>
        <w:gridCol w:w="2930"/>
      </w:tblGrid>
      <w:tr>
        <w:trPr>
          <w:cantSplit/>
          <w:tblHeader/>
        </w:trPr>
        <w:tc>
          <w:tcPr>
            <w:tcW w:w="9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步骤</w:t>
            </w:r>
          </w:p>
        </w:tc>
        <w:tc>
          <w:tcPr>
            <w:tcW w:w="26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拟执行操作</w:t>
            </w:r>
          </w:p>
        </w:tc>
        <w:tc>
          <w:tcPr>
            <w:tcW w:w="365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输入或依赖</w:t>
            </w:r>
          </w:p>
        </w:tc>
        <w:tc>
          <w:tcPr>
            <w:tcW w:w="293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输出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s1</w:t>
            </w:r>
          </w:p>
        </w:tc>
        <w:tc>
          <w:tcPr>
            <w:tcW w:w="26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读取 A001</w:t>
            </w:r>
          </w:p>
        </w:tc>
        <w:tc>
          <w:tcPr>
            <w:tcW w:w="36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施工区图层与编码</w:t>
            </w:r>
          </w:p>
        </w:tc>
        <w:tc>
          <w:tcPr>
            <w:tcW w:w="29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区域几何</w:t>
            </w:r>
          </w:p>
        </w:tc>
      </w:tr>
      <w:tr>
        <w:trPr>
          <w:cantSplit/>
        </w:trPr>
        <w:tc>
          <w:tcPr>
            <w:tcW w:w="9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s2</w:t>
            </w:r>
          </w:p>
        </w:tc>
        <w:tc>
          <w:tcPr>
            <w:tcW w:w="26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读取燃气管线</w:t>
            </w:r>
          </w:p>
        </w:tc>
        <w:tc>
          <w:tcPr>
            <w:tcW w:w="36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燃气图层</w:t>
            </w:r>
          </w:p>
        </w:tc>
        <w:tc>
          <w:tcPr>
            <w:tcW w:w="29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燃气要素集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s3</w:t>
            </w:r>
          </w:p>
        </w:tc>
        <w:tc>
          <w:tcPr>
            <w:tcW w:w="26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裁剪燃气管段</w:t>
            </w:r>
          </w:p>
        </w:tc>
        <w:tc>
          <w:tcPr>
            <w:tcW w:w="36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s1、s2</w:t>
            </w:r>
          </w:p>
        </w:tc>
        <w:tc>
          <w:tcPr>
            <w:tcW w:w="29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带原编码的区内管段</w:t>
            </w:r>
          </w:p>
        </w:tc>
      </w:tr>
      <w:tr>
        <w:trPr>
          <w:cantSplit/>
        </w:trPr>
        <w:tc>
          <w:tcPr>
            <w:tcW w:w="9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s4</w:t>
            </w:r>
          </w:p>
        </w:tc>
        <w:tc>
          <w:tcPr>
            <w:tcW w:w="26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读取相关水管</w:t>
            </w:r>
          </w:p>
        </w:tc>
        <w:tc>
          <w:tcPr>
            <w:tcW w:w="36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水务图层与 50 米影响范围</w:t>
            </w:r>
          </w:p>
        </w:tc>
        <w:tc>
          <w:tcPr>
            <w:tcW w:w="29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候选水管集合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s5</w:t>
            </w:r>
          </w:p>
        </w:tc>
        <w:tc>
          <w:tcPr>
            <w:tcW w:w="26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水管缓冲并合并</w:t>
            </w:r>
          </w:p>
        </w:tc>
        <w:tc>
          <w:tcPr>
            <w:tcW w:w="36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s4、50 米</w:t>
            </w:r>
          </w:p>
        </w:tc>
        <w:tc>
          <w:tcPr>
            <w:tcW w:w="29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联合影响范围</w:t>
            </w:r>
          </w:p>
        </w:tc>
      </w:tr>
      <w:tr>
        <w:trPr>
          <w:cantSplit/>
        </w:trPr>
        <w:tc>
          <w:tcPr>
            <w:tcW w:w="9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s6</w:t>
            </w:r>
          </w:p>
        </w:tc>
        <w:tc>
          <w:tcPr>
            <w:tcW w:w="26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求受影响管段</w:t>
            </w:r>
          </w:p>
        </w:tc>
        <w:tc>
          <w:tcPr>
            <w:tcW w:w="36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s3、s5</w:t>
            </w:r>
          </w:p>
        </w:tc>
        <w:tc>
          <w:tcPr>
            <w:tcW w:w="29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管段交集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s7</w:t>
            </w:r>
          </w:p>
        </w:tc>
        <w:tc>
          <w:tcPr>
            <w:tcW w:w="26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线类型提取与测量</w:t>
            </w:r>
          </w:p>
        </w:tc>
        <w:tc>
          <w:tcPr>
            <w:tcW w:w="36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s6</w:t>
            </w:r>
          </w:p>
        </w:tc>
        <w:tc>
          <w:tcPr>
            <w:tcW w:w="29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每段平面长度</w:t>
            </w:r>
          </w:p>
        </w:tc>
      </w:tr>
      <w:tr>
        <w:trPr>
          <w:cantSplit/>
        </w:trPr>
        <w:tc>
          <w:tcPr>
            <w:tcW w:w="9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s8</w:t>
            </w:r>
          </w:p>
        </w:tc>
        <w:tc>
          <w:tcPr>
            <w:tcW w:w="26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分组汇总与排序</w:t>
            </w:r>
          </w:p>
        </w:tc>
        <w:tc>
          <w:tcPr>
            <w:tcW w:w="36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s7、燃气管线编码</w:t>
            </w:r>
          </w:p>
        </w:tc>
        <w:tc>
          <w:tcPr>
            <w:tcW w:w="29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最终统计表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Normal"/>
      </w:pPr>
      <w:r>
        <w:t xml:space="preserve">候选水管包括区域外但能影响区内燃气管段的水管。不能无条件先把水管裁剪到 A001。s1、s2 及部分水管读取可以独立准备，s6 必须等待区内管段和联合缓冲区都完成。</w:t>
      </w:r>
    </w:p>
    <w:p>
      <w:pPr>
        <w:pStyle w:val="Normal"/>
      </w:pPr>
      <w:r>
        <w:t xml:space="preserve">另一种正确计划可以先生成水管联合影响范围，再同时与施工区及燃气管线求交。只要最终空间语义、标识保留和去重口径相同，应接受等价计划。</w:t>
      </w:r>
    </w:p>
    <w:p>
      <w:pPr>
        <w:pStyle w:val="Normal"/>
      </w:pPr>
      <w:r>
        <w:t xml:space="preserve">步骤数量用于说明逻辑复杂度，不按 SQL 中函数出现次数评分。此例的缓冲与并集可以拆成两个工具节点，不能因此认定模型规划能力更强。</w:t>
      </w:r>
    </w:p>
    <w:p>
      <w:pPr>
        <w:pStyle w:val="Heading1"/>
        <w:pageBreakBefore/>
      </w:pPr>
      <w:r>
        <w:t xml:space="preserve">04 两类评测与独立标准答案</w:t>
      </w:r>
    </w:p>
    <w:p>
      <w:pPr>
        <w:pStyle w:val="Heading2"/>
      </w:pPr>
      <w:r>
        <w:t xml:space="preserve">计划正确性评测</w:t>
      </w:r>
    </w:p>
    <w:p>
      <w:pPr>
        <w:pStyle w:val="Normal"/>
      </w:pPr>
      <w:r>
        <w:t xml:space="preserve">向模型提供固定的数据库元信息、工具说明和用户问题，要求输出结构化计划。检查对象、阈值、字段、步骤依赖、单位与去重规则。规划阶段不要求查询到最终业务数值；引用结构、操作合同和关键约束必须完整。</w:t>
      </w:r>
    </w:p>
    <w:p>
      <w:pPr>
        <w:pStyle w:val="Normal"/>
      </w:pPr>
      <w:r>
        <w:t xml:space="preserve">对于尚未实现的操作，可在完整且事先声明的工具合同下开展计划评测，但这部分成绩标记为计划评测，不能记为已经执行完成。正式题目不在提示词中展示标准步骤。</w:t>
      </w:r>
    </w:p>
    <w:p>
      <w:pPr>
        <w:pStyle w:val="Heading2"/>
      </w:pPr>
      <w:r>
        <w:t xml:space="preserve">实际执行评测</w:t>
      </w:r>
    </w:p>
    <w:p>
      <w:pPr>
        <w:pStyle w:val="Normal"/>
      </w:pPr>
      <w:r>
        <w:t xml:space="preserve">把模型计划交给确定性执行器，记录所有步骤的输入、输出、错误、耗时和结果引用。分别核对关键中间结果与最终结果。模型计划正确但执行器出错时，任务完成率仍记录失败，同时在错误归因中标注系统问题。</w:t>
      </w:r>
    </w:p>
    <w:p>
      <w:pPr>
        <w:pStyle w:val="Normal"/>
      </w:pPr>
      <w:r>
        <w:t xml:space="preserve">先让人工编写的计划走通同一套工具和执行器，并与独立标准 SQL 比较。直接调用同一业务工具两次得到相同结果，只能证明两次执行一致，无法证明其计算口径本身正确。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00"/>
        <w:gridCol w:w="7280"/>
      </w:tblGrid>
      <w:tr>
        <w:trPr>
          <w:cantSplit/>
          <w:tblHeader/>
        </w:trPr>
        <w:tc>
          <w:tcPr>
            <w:tcW w:w="28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每题标注字段</w:t>
            </w:r>
          </w:p>
        </w:tc>
        <w:tc>
          <w:tcPr>
            <w:tcW w:w="728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应保存的内容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case_id 与 level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唯一编号、L0 至 L3 复杂度或 L4 场景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question 与 domain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原始问题、燃气或水务等领域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dataset_version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SQL 快照、增量样例与校验摘要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capability_supported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所需工具合同与本轮支持状态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constraints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对象、区域、边界、阈值、状态和单位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reference_plan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审核后的依赖关系及可接受替代方案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intermediate_checks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裁剪管段、联合范围、去重集合等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gold_query 与 gold_result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独立 SQL、结果文件、审核记录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result_contract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集合、排序、数值和几何比较规则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expected_behavior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计算、澄清、条件不足或对象不存在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Normal"/>
      </w:pPr>
      <w:r>
        <w:t xml:space="preserve">标准答案由人工审核的 SQL 或独立确定性程序生成。对裁剪、重复计数和边界案例增加可手算检查。标注程序与模型执行代码尽量独立；抽样人工复核，避免共享同一个计算错误。</w:t>
      </w:r>
    </w:p>
    <w:p>
      <w:pPr>
        <w:pStyle w:val="Heading1"/>
        <w:pageBreakBefore/>
      </w:pPr>
      <w:r>
        <w:t xml:space="preserve">05 开发调试题目一</w:t>
      </w:r>
    </w:p>
    <w:p>
      <w:pPr>
        <w:pStyle w:val="Normal"/>
      </w:pPr>
      <w:r>
        <w:t xml:space="preserve">20 道调试题分配为 L0 两题、L1 四题、L2 六题、L3 四题、L4 四题。以下题目用于实施调试，标准 SQL、数值答案和中间结果应随数据版本补齐，不能将题目清单视为已经完成的测试结果。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50"/>
        <w:gridCol w:w="5200"/>
        <w:gridCol w:w="3130"/>
      </w:tblGrid>
      <w:tr>
        <w:trPr>
          <w:cantSplit/>
          <w:tblHeader/>
        </w:trPr>
        <w:tc>
          <w:tcPr>
            <w:tcW w:w="175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编号</w:t>
            </w:r>
          </w:p>
        </w:tc>
        <w:tc>
          <w:tcPr>
            <w:tcW w:w="52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问题及口径</w:t>
            </w:r>
          </w:p>
        </w:tc>
        <w:tc>
          <w:tcPr>
            <w:tcW w:w="313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关键检查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D00 01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统计 A001 内燃气管线长度，包含边界上的管段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先求交，再测线长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D00 02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查询点 520,520 最近的 3 个燃气设备，包含重合设备；同距离按编码排序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坐标、数量、零距离和并列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D10 01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计算 A001 内高压燃气管段长度，仅保留长度超过 100 米的管线并降序排序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属性、裁剪、阈值、排序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D10 02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统计 A001 内各类型燃气设备数，边界设备计入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覆盖关系、分组、计数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D10 03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查询距 G002 不超过 100 米且 status 为告警的设备，返回最短距离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告警取值、距离参照对象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D10 04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D011 的 300 米服务范围覆盖 A001 多少面积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缓冲、裁剪、面积单位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D20 01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按燃气管线统计 A001 内距水管不超过 50 米的受影响管段长度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区外水管影响、缓冲合并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D20 02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距 A001 不超过 200 米的设备各建 200 米服务区，求联合覆盖率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候选设备、重叠面积去重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D20 03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分别统计 A003 内燃气与水务管线长度，扣除施工区孔洞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孔洞、分图层汇总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D20 04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统计 A001 内距 G004 大于 100 米且不超过 300 米的设备，按类型计数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两端阈值、边界口径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Heading2"/>
      </w:pPr>
      <w:r>
        <w:t xml:space="preserve">统一业务约定</w:t>
      </w:r>
    </w:p>
    <w:p>
      <w:pPr>
        <w:pStyle w:val="Normal"/>
      </w:pPr>
      <w:r>
        <w:t xml:space="preserve">这批调试题使用 EPSG:3857 平面长度与面积，明确是模拟坐标实验。高压对应 pressure_level='高压'；告警对应 status='告警'。不把“停用”自动解释为“告警”。需要包含边界的设备筛选采用覆盖语义；题目未明确时按标注的业务合同执行。</w:t>
      </w:r>
    </w:p>
    <w:p>
      <w:pPr>
        <w:pStyle w:val="Normal"/>
      </w:pPr>
      <w:r>
        <w:t xml:space="preserve">D20 02 中候选设备不能仅取区域内设备，区域外设备的服务区也可能覆盖 A001。D20 03 的孔洞面积不属于施工区，不能只使用外环。D20 04 的条件明确为 100 &lt; d ≤ 300，不采用含糊的区间解释。</w:t>
      </w:r>
    </w:p>
    <w:p>
      <w:pPr>
        <w:pStyle w:val="Normal"/>
      </w:pPr>
      <w:r>
        <w:t xml:space="preserve">现有工具不能直接完成部分属性过滤、联合覆盖和分组任务。这些调试题用于驱动工具与执行器建设；相关能力准备完成后再统计实际执行正确率。</w:t>
      </w:r>
    </w:p>
    <w:p>
      <w:pPr>
        <w:pStyle w:val="Heading1"/>
        <w:pageBreakBefore/>
      </w:pPr>
      <w:r>
        <w:t xml:space="preserve">06 开发调试题目二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50"/>
        <w:gridCol w:w="5200"/>
        <w:gridCol w:w="3130"/>
      </w:tblGrid>
      <w:tr>
        <w:trPr>
          <w:cantSplit/>
          <w:tblHeader/>
        </w:trPr>
        <w:tc>
          <w:tcPr>
            <w:tcW w:w="175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编号</w:t>
            </w:r>
          </w:p>
        </w:tc>
        <w:tc>
          <w:tcPr>
            <w:tcW w:w="52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问题及口径</w:t>
            </w:r>
          </w:p>
        </w:tc>
        <w:tc>
          <w:tcPr>
            <w:tcW w:w="313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关键检查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D20 05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统计 A001 内燃气与水管的二维交点数，同一位置只计一次；重合管段另列长度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点线提取、位置去重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D20 06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求 A001 内未被 D001、D002、D011 的 200 米服务区覆盖的燃气管段长度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联合缓冲、差集、线测量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D30 01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分别报告 A001、A002 的受水管 50 米影响燃气长度、其附近 100 米内告警设备数和交点数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分支依赖、对象去重、关联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D30 02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对 A001 至 A003 计算告警设备联合覆盖率及覆盖区内燃气长度，按长度排序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一个覆盖范围复用于两分支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D30 03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返回 A001 内每个唯一燃气水务交点及最近燃气设备，按距离排序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混合几何、最近邻关联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D30 04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水务测试副本转为 4326，燃气保持 3857；求 A001 内距水管 30 米的燃气管段长度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真正转换坐标、统一 CRS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D40 01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查询 A001 附近的高风险管线，不提供距离与风险规则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澄清所缺条件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D40 02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查询最近一周新增管线，数据没有创建时间或版本信息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明确缺数据条件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D40 03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查询 A999 内燃气管线，A999 不存在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目标不存在与合法空结果区分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D40 04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对 INV001 与 A001 求交并测面积；处理策略为拒绝无效几何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检查有效性并返回原因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Heading2"/>
      </w:pPr>
      <w:r>
        <w:t xml:space="preserve">数据条件与可接受行为</w:t>
      </w:r>
    </w:p>
    <w:p>
      <w:pPr>
        <w:pStyle w:val="Normal"/>
      </w:pPr>
      <w:r>
        <w:t xml:space="preserve">D30 02 应在调试数据增量中增加多个告警设备，并让服务区发生重叠，避免只有一个设备时错误的直接相加也碰巧正确。D30 04 的水管副本必须由原几何 ST_Transform 得到，不能只把 SRID 标签改为 4326。</w:t>
      </w:r>
    </w:p>
    <w:p>
      <w:pPr>
        <w:pStyle w:val="Normal"/>
      </w:pPr>
      <w:r>
        <w:t xml:space="preserve">D40 01 只提出必要澄清，不擅自设定风险权重。D40 02 明确缺少时间数据；若正式题提供了时间字段，则应正常执行，不能沿用拒绝模板。D40 03 与“合法施工区内没有匹配管线”配成对照题。D40 04 的拒绝策略与“允许修复并记录前后几何”的题目分开标注。</w:t>
      </w:r>
    </w:p>
    <w:p>
      <w:pPr>
        <w:pStyle w:val="Normal"/>
      </w:pPr>
      <w:r>
        <w:t xml:space="preserve">L4 作为歧义、异常和能力边界场景集合单独统计，不强行解释为比 L3 更长的规划。正式集中需同时包含可正常计算的相似问法，防止模型通过一律澄清或拒绝获得高分。</w:t>
      </w:r>
    </w:p>
    <w:p>
      <w:pPr>
        <w:pStyle w:val="Heading1"/>
        <w:pageBreakBefore/>
      </w:pPr>
      <w:r>
        <w:t xml:space="preserve">07 数据与空间语义合同</w:t>
      </w:r>
    </w:p>
    <w:p>
      <w:pPr>
        <w:pStyle w:val="Normal"/>
      </w:pPr>
      <w:r>
        <w:t xml:space="preserve">当前种子数据包括 10 个施工区、12 条燃气管线、12 个燃气设备、10 条水务管线和 3 条道路，共 47 个业务要素；另有 2 个几何异常案例和 2 个 SRID 示例。它们适合手算与边界验证，后续按题目需要添加明确编号的测试增量。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00"/>
        <w:gridCol w:w="7280"/>
      </w:tblGrid>
      <w:tr>
        <w:trPr>
          <w:cantSplit/>
          <w:tblHeader/>
        </w:trPr>
        <w:tc>
          <w:tcPr>
            <w:tcW w:w="28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测试数据</w:t>
            </w:r>
          </w:p>
        </w:tc>
        <w:tc>
          <w:tcPr>
            <w:tcW w:w="728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应覆盖的失败方式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跨区管线与带孔洞施工区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把整条管线长度当作区内长度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边界点、边界线与共边区域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混用 Within、Contains、Covers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平行近邻、二维交点和重合线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将邻近当相交，将线交集当交点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多个重叠服务区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直接累加面积、设备或管段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一对多、多对多属性关联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JOIN 放大计数与长度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距离阈值两侧和恰等阈值对象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混淆大于、大于等于和浮点容差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不同 CRS 的同源几何副本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改标签代替坐标转换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无匹配、缺对象、缺字段、无效面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空结果、异常与条件不足混淆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Normal"/>
      </w:pPr>
      <w:r>
        <w:t xml:space="preserve">区域按区域键分别统计；同一设备可以属于两个区域，但同一区域内按设备编码去重。全域合计若要求唯一覆盖，应先明确区域重叠是否去重。几何位置去重与业务对象去重分别定义，不能互相替代。</w:t>
      </w:r>
    </w:p>
    <w:p>
      <w:pPr>
        <w:pStyle w:val="Normal"/>
      </w:pPr>
      <w:r>
        <w:t xml:space="preserve">相交包含边界接触；内部与覆盖语义按题目合同确定。二维交叉只说明几何位置关系，不推断地下真实碰撞、连通性、上下游或阀门控制范围。</w:t>
      </w:r>
    </w:p>
    <w:p>
      <w:pPr>
        <w:pStyle w:val="Normal"/>
      </w:pPr>
      <w:r>
        <w:t xml:space="preserve">模拟坐标采用 3857 的平面量测口径。引入真实地理位置和地面精度要求时，另选适当当地投影或明确 geography 计算方案，记录分析 CRS、长度单位及面积单位。</w:t>
      </w:r>
    </w:p>
    <w:p>
      <w:pPr>
        <w:pStyle w:val="Normal"/>
      </w:pPr>
      <w:r>
        <w:t xml:space="preserve">数据快照保存建表 SQL、种子 SQL、各题增量、PostgreSQL 与 PostGIS 版本及内容摘要。正式评测期间不修改底层快照。大规模性能实验使用单独数据版本，避免将空间索引和硬件差异混入模型规划能力比较。</w:t>
      </w:r>
    </w:p>
    <w:p>
      <w:pPr>
        <w:pStyle w:val="Heading1"/>
        <w:pageBreakBefore/>
      </w:pPr>
      <w:r>
        <w:t xml:space="preserve">08 正式题集与实验划分</w:t>
      </w:r>
    </w:p>
    <w:p>
      <w:pPr>
        <w:pStyle w:val="Normal"/>
      </w:pPr>
      <w:r>
        <w:t xml:space="preserve">正式集由 60 道独立任务组成，开发调试的 20 题不计入其中。先完成必要工具与执行合同，再冻结题目、标准答案和比较规则。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100"/>
        <w:gridCol w:w="1100"/>
        <w:gridCol w:w="7880"/>
      </w:tblGrid>
      <w:tr>
        <w:trPr>
          <w:cantSplit/>
          <w:tblHeader/>
        </w:trPr>
        <w:tc>
          <w:tcPr>
            <w:tcW w:w="11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层级</w:t>
            </w:r>
          </w:p>
        </w:tc>
        <w:tc>
          <w:tcPr>
            <w:tcW w:w="11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题数</w:t>
            </w:r>
          </w:p>
        </w:tc>
        <w:tc>
          <w:tcPr>
            <w:tcW w:w="788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要求</w:t>
            </w:r>
          </w:p>
        </w:tc>
      </w:tr>
      <w:tr>
        <w:trPr>
          <w:cantSplit/>
        </w:trPr>
        <w:tc>
          <w:tcPr>
            <w:tcW w:w="11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L0</w:t>
            </w:r>
          </w:p>
        </w:tc>
        <w:tc>
          <w:tcPr>
            <w:tcW w:w="11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6</w:t>
            </w:r>
          </w:p>
        </w:tc>
        <w:tc>
          <w:tcPr>
            <w:tcW w:w="78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数据发现与基础空间任务，作为回归基线</w:t>
            </w:r>
          </w:p>
        </w:tc>
      </w:tr>
      <w:tr>
        <w:trPr>
          <w:cantSplit/>
        </w:trPr>
        <w:tc>
          <w:tcPr>
            <w:tcW w:w="11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L1</w:t>
            </w:r>
          </w:p>
        </w:tc>
        <w:tc>
          <w:tcPr>
            <w:tcW w:w="11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12</w:t>
            </w:r>
          </w:p>
        </w:tc>
        <w:tc>
          <w:tcPr>
            <w:tcW w:w="78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单领域的筛选、量测、分组或排序组合</w:t>
            </w:r>
          </w:p>
        </w:tc>
      </w:tr>
      <w:tr>
        <w:trPr>
          <w:cantSplit/>
        </w:trPr>
        <w:tc>
          <w:tcPr>
            <w:tcW w:w="11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L2</w:t>
            </w:r>
          </w:p>
        </w:tc>
        <w:tc>
          <w:tcPr>
            <w:tcW w:w="11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16</w:t>
            </w:r>
          </w:p>
        </w:tc>
        <w:tc>
          <w:tcPr>
            <w:tcW w:w="78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多约束、联合范围、去重和中间结果</w:t>
            </w:r>
          </w:p>
        </w:tc>
      </w:tr>
      <w:tr>
        <w:trPr>
          <w:cantSplit/>
        </w:trPr>
        <w:tc>
          <w:tcPr>
            <w:tcW w:w="11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L3</w:t>
            </w:r>
          </w:p>
        </w:tc>
        <w:tc>
          <w:tcPr>
            <w:tcW w:w="11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16</w:t>
            </w:r>
          </w:p>
        </w:tc>
        <w:tc>
          <w:tcPr>
            <w:tcW w:w="78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多图层、多分支、依赖与结果复用</w:t>
            </w:r>
          </w:p>
        </w:tc>
      </w:tr>
      <w:tr>
        <w:trPr>
          <w:cantSplit/>
        </w:trPr>
        <w:tc>
          <w:tcPr>
            <w:tcW w:w="11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L4</w:t>
            </w:r>
          </w:p>
        </w:tc>
        <w:tc>
          <w:tcPr>
            <w:tcW w:w="11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10</w:t>
            </w:r>
          </w:p>
        </w:tc>
        <w:tc>
          <w:tcPr>
            <w:tcW w:w="78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澄清、缺数据、空结果与几何异常</w:t>
            </w:r>
          </w:p>
        </w:tc>
      </w:tr>
      <w:tr>
        <w:trPr>
          <w:cantSplit/>
        </w:trPr>
        <w:tc>
          <w:tcPr>
            <w:tcW w:w="11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合计</w:t>
            </w:r>
          </w:p>
        </w:tc>
        <w:tc>
          <w:tcPr>
            <w:tcW w:w="11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60</w:t>
            </w:r>
          </w:p>
        </w:tc>
        <w:tc>
          <w:tcPr>
            <w:tcW w:w="78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分层报告，L2 与 L3 共 32 题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Heading2"/>
      </w:pPr>
      <w:r>
        <w:t xml:space="preserve">正式题目的独立性</w:t>
      </w:r>
    </w:p>
    <w:p>
      <w:pPr>
        <w:pStyle w:val="Normal"/>
      </w:pPr>
      <w:r>
        <w:t xml:space="preserve">独立任务在约束结构、几何关系、分支依赖或输出目标上形成实质差异。仅把 A001 改成 A002，或者把 50 米改成 60 米，原则上作为同一任务族的变体，不当作新的独立规划结构。</w:t>
      </w:r>
    </w:p>
    <w:p>
      <w:pPr>
        <w:pStyle w:val="Normal"/>
      </w:pPr>
      <w:r>
        <w:t xml:space="preserve">开发集可用于提示词和工具调试。正式集保留模型开发过程中未反复使用的组合，标准 SQL 和人工结果对待测模型隐藏。若使用计划示例或流程模板，只能来自开发集，并记录模板是否覆盖该任务结构。</w:t>
      </w:r>
    </w:p>
    <w:p>
      <w:pPr>
        <w:pStyle w:val="Heading2"/>
      </w:pPr>
      <w:r>
        <w:t xml:space="preserve">补充实验</w:t>
      </w:r>
    </w:p>
    <w:p>
      <w:pPr>
        <w:pStyle w:val="Normal"/>
      </w:pPr>
      <w:r>
        <w:t xml:space="preserve">从正式复杂题中选 20 道，每题准备两种语义等价改写，增加 40 次调用。保持距离、边界、异常状态和输出口径不变，单独报告改写一致率，不将 40 次调用当作 40 道独立业务任务。</w:t>
      </w:r>
    </w:p>
    <w:p>
      <w:pPr>
        <w:pStyle w:val="Normal"/>
      </w:pPr>
      <w:r>
        <w:t xml:space="preserve">另选 10 道复杂题，各重复运行 3 次，用于观察稳定性。重复实验单独登记，不从多次结果中挑选最好一次替代主实验的首次作答成绩。</w:t>
      </w:r>
    </w:p>
    <w:p>
      <w:pPr>
        <w:pStyle w:val="Normal"/>
      </w:pPr>
      <w:r>
        <w:t xml:space="preserve">正式题集应包括结果可计算且工具已具备的任务，以及明确标注条件不足的任务。能力缺口清单提前公布；如果正式执行任务因工具缺失失败，端到端结果仍记失败，并单独说明失败归因。</w:t>
      </w:r>
    </w:p>
    <w:p>
      <w:pPr>
        <w:pStyle w:val="Normal"/>
      </w:pPr>
      <w:r>
        <w:t xml:space="preserve">本规划给出题集构造规则与 20 道开发题。60 道正式任务的逐题标注、标准 SQL 和数值结果属于后续建设交付物，不在文档中预先宣称已经完成。</w:t>
      </w:r>
    </w:p>
    <w:p>
      <w:pPr>
        <w:pStyle w:val="Heading1"/>
        <w:pageBreakBefore/>
      </w:pPr>
      <w:r>
        <w:t xml:space="preserve">09 判定规则与指标</w:t>
      </w:r>
    </w:p>
    <w:p>
      <w:pPr>
        <w:pStyle w:val="Normal"/>
      </w:pPr>
      <w:r>
        <w:t xml:space="preserve">主指标采用首次作答的严格任务通过率，并分层、分实验模式报告。计划、参数、空间语义和输出必须满足关键要求；允许经过审核的等价计划。语法可解析或 SQL 成功执行本身不构成任务通过。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00"/>
        <w:gridCol w:w="7280"/>
      </w:tblGrid>
      <w:tr>
        <w:trPr>
          <w:cantSplit/>
          <w:tblHeader/>
        </w:trPr>
        <w:tc>
          <w:tcPr>
            <w:tcW w:w="28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指标</w:t>
            </w:r>
          </w:p>
        </w:tc>
        <w:tc>
          <w:tcPr>
            <w:tcW w:w="728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判定口径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严格规划正确率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关键对象、条件、依赖和空间语义均正确的任务比例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结果正确率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对预期可计算任务，最终结果符合独立标准的比例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任务完成率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可计算任务按合同完成执行并输出的比例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异常处理正确率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L4 等预期场景中，行为与标注一致的比例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总体严格通过率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所有任务按其预期行为正确完成的比例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语言与重复稳定性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同一任务改写或重复运行的正确性与一致性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Normal"/>
      </w:pPr>
      <w:r>
        <w:t xml:space="preserve">参数比较先经过注册表模型校验并 model_dump，消除默认值和允许的类型转换差异。比较完整计划中的所有步骤，并同时校验工具名。不同工具或不同参数仍可能形成等价计划，不能只靠字典完全相等判定。</w:t>
      </w:r>
    </w:p>
    <w:p>
      <w:pPr>
        <w:pStyle w:val="Normal"/>
      </w:pPr>
      <w:r>
        <w:t xml:space="preserve">对象集合按业务编码比较；排序题同时比较顺序与并列规则。计数使用精确比较。数值允许误差取绝对容差与“相对容差乘标准值绝对值”中的较大值。建议长度绝对容差 0.01 米、面积 0.1 平方米、相对容差 1e-6；覆盖率按 0 至 100 计，以 0.001 个百分点作绝对容差。各题审核后冻结，不在看到模型结果后调整。</w:t>
      </w:r>
    </w:p>
    <w:p>
      <w:pPr>
        <w:pStyle w:val="Normal"/>
      </w:pPr>
      <w:r>
        <w:t xml:space="preserve">几何结果先核对 CRS、类型和有效性，再按等价性或预先定义的位置、对称差面积或线长容差比较；不要求 GeoJSON 字符串和顶点顺序完全一致。数值通过也必须检查区域、状态、阈值和去重等关键约束，避免错误计划碰巧给出相同数字。</w:t>
      </w:r>
    </w:p>
    <w:p>
      <w:pPr>
        <w:pStyle w:val="Normal"/>
      </w:pPr>
      <w:r>
        <w:t xml:space="preserve">可另给 100 分诊断评分：语义 20、步骤依赖 25、算子参数 25、空间语义 20、异常边界 10。分数用于失败分析，不替代严格通过标准。工具故障、数据缺陷、计划错误及超时分别分类，不能通过事后删除失败题提高比例。</w:t>
      </w:r>
    </w:p>
    <w:p>
      <w:pPr>
        <w:pStyle w:val="Heading1"/>
        <w:pageBreakBefore/>
      </w:pPr>
      <w:r>
        <w:t xml:space="preserve">10 对照实验与运行记录</w:t>
      </w:r>
    </w:p>
    <w:p>
      <w:pPr>
        <w:pStyle w:val="Normal"/>
      </w:pPr>
      <w:r>
        <w:t xml:space="preserve">所有模型使用相同数据版本、工具定义、元信息、输出合同和执行器。记录模型名称与版本、提示词摘要、temperature、推理或思考模式、上下文长度限制、最大输出与总调用预算。若服务不支持 seed 或特定配置，应在运行元数据中记录实际能力。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00"/>
        <w:gridCol w:w="7280"/>
      </w:tblGrid>
      <w:tr>
        <w:trPr>
          <w:cantSplit/>
          <w:tblHeader/>
        </w:trPr>
        <w:tc>
          <w:tcPr>
            <w:tcW w:w="28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对照条件</w:t>
            </w:r>
          </w:p>
        </w:tc>
        <w:tc>
          <w:tcPr>
            <w:tcW w:w="728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可回答的问题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当前单工具模式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基础工具选择与参数生成是否稳定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可组合多步模式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是否能生成并执行新的算子组合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人工计划加同一执行器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执行器和工具能否完成任务</w:t>
            </w:r>
          </w:p>
        </w:tc>
      </w:tr>
      <w:tr>
        <w:trPr>
          <w:cantSplit/>
        </w:trPr>
        <w:tc>
          <w:tcPr>
            <w:tcW w:w="28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独立标准 SQL</w:t>
            </w:r>
          </w:p>
        </w:tc>
        <w:tc>
          <w:tcPr>
            <w:tcW w:w="728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中间结果与最终业务结果是否正确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可选模板或知识辅助</w:t>
            </w:r>
          </w:p>
        </w:tc>
        <w:tc>
          <w:tcPr>
            <w:tcW w:w="728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语义表、流程模板是否带来增益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Normal"/>
      </w:pPr>
      <w:r>
        <w:t xml:space="preserve">当前规则 Agent 适合覆盖其支持的基础题。复杂任务不要求规则 Agent 自动解答，也不把规则 Agent 的输出天然视为正确答案。对不同模型与辅助条件分别报告成绩；知识库、示例模板等辅助材料需要列明，未接入的文件不能作为系统能力描述。</w:t>
      </w:r>
    </w:p>
    <w:p>
      <w:pPr>
        <w:pStyle w:val="Heading2"/>
      </w:pPr>
      <w:r>
        <w:t xml:space="preserve">时长与预算</w:t>
      </w:r>
    </w:p>
    <w:p>
      <w:pPr>
        <w:pStyle w:val="Normal"/>
      </w:pPr>
      <w:r>
        <w:t xml:space="preserve">记录用户请求到最终结果的端到端时长，并拆分模型规划、数据库、执行器及结果整理耗时。PostGISToolkit 的 elapsed_ms 包含连接与结果处理，不等于数据库纯 SQL 时间，也不等于整个 Agent 时长。并发分支使用墙钟时间统计，不能简单相加作为端到端耗时。</w:t>
      </w:r>
    </w:p>
    <w:p>
      <w:pPr>
        <w:pStyle w:val="Normal"/>
      </w:pPr>
      <w:r>
        <w:t xml:space="preserve">记录模型调用次数、输入输出 token、重试和修复次数。第一轮主实验只计一次初始规划；后续若允许执行反馈修复，则单独设定最多两轮修复和固定预算，报告首次成功率及修复后成功率。</w:t>
      </w:r>
    </w:p>
    <w:p>
      <w:pPr>
        <w:pStyle w:val="Normal"/>
      </w:pPr>
      <w:r>
        <w:t xml:space="preserve">需求中的 25 秒和 60 秒口径保持原意，先报告实际耗时分布及 P50、P95。当前单库模拟结果只作为阶段性能证据，真实跨平台时再测适配平台等待时间的排除口径。测试框架另设技术超时上限，不能把它与需求响应目标混为同一指标。</w:t>
      </w:r>
    </w:p>
    <w:p>
      <w:pPr>
        <w:pStyle w:val="Normal"/>
      </w:pPr>
      <w:r>
        <w:t xml:space="preserve">每次运行保存 run_id、case_id、版本摘要、原始响应、完整计划、标准化参数、结果引用、步骤输出摘要、最终结果、时长、判定和错误类别。不记录密钥、数据库密码或不必要的业务敏感信息。</w:t>
      </w:r>
    </w:p>
    <w:p>
      <w:pPr>
        <w:pStyle w:val="Heading1"/>
        <w:pageBreakBefore/>
      </w:pPr>
      <w:r>
        <w:t xml:space="preserve">11 实施顺序与阶段交付</w:t>
      </w:r>
    </w:p>
    <w:tbl>
      <w:tblPr>
        <w:tblW w:w="1008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50"/>
        <w:gridCol w:w="5200"/>
        <w:gridCol w:w="3130"/>
      </w:tblGrid>
      <w:tr>
        <w:trPr>
          <w:cantSplit/>
          <w:tblHeader/>
        </w:trPr>
        <w:tc>
          <w:tcPr>
            <w:tcW w:w="175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阶段</w:t>
            </w:r>
          </w:p>
        </w:tc>
        <w:tc>
          <w:tcPr>
            <w:tcW w:w="520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工作内容</w:t>
            </w:r>
          </w:p>
        </w:tc>
        <w:tc>
          <w:tcPr>
            <w:tcW w:w="3130" w:type="dxa"/>
            <w:shd w:val="clear" w:fill="244A60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FFFFFF"/>
                <w:b/>
              </w:rPr>
              <w:t xml:space="preserve">进入下一阶段的条件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S0 明确合同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确定题目口径、数据版本、工具输入输出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代表题有独立 SQL 与人工审核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S1 验证执行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结果句柄、引用解析、可组合工具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人工计划的代表题全部按合同通过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S2 开发调试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运行 20 题并修正实现与提示词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能力缺口明确，失败可以复现</w:t>
            </w:r>
          </w:p>
        </w:tc>
      </w:tr>
      <w:tr>
        <w:trPr>
          <w:cantSplit/>
        </w:trPr>
        <w:tc>
          <w:tcPr>
            <w:tcW w:w="175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S3 冻结评测</w:t>
            </w:r>
          </w:p>
        </w:tc>
        <w:tc>
          <w:tcPr>
            <w:tcW w:w="520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完成 60 题标注并固定全部版本</w:t>
            </w:r>
          </w:p>
        </w:tc>
        <w:tc>
          <w:tcPr>
            <w:tcW w:w="3130" w:type="dxa"/>
            <w:shd w:val="clear" w:fill="F1F5F7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标准结果、比较器、预算均已审核</w:t>
            </w:r>
          </w:p>
        </w:tc>
      </w:tr>
      <w:tr>
        <w:trPr>
          <w:cantSplit/>
        </w:trPr>
        <w:tc>
          <w:tcPr>
            <w:tcW w:w="175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S4 分析报告</w:t>
            </w:r>
          </w:p>
        </w:tc>
        <w:tc>
          <w:tcPr>
            <w:tcW w:w="520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正式运行、改写和稳定性实验</w:t>
            </w:r>
          </w:p>
        </w:tc>
        <w:tc>
          <w:tcPr>
            <w:tcW w:w="3130" w:type="dxa"/>
            <w:shd w:val="clear" w:fill="FFFFFF"/>
            <w:vAlign w:val="center"/>
          </w:tcPr>
          <w:p>
            <w:pPr>
              <w:spacing w:before="0" w:after="0" w:line="270" w:lineRule="auto"/>
              <w:widowControl/>
            </w:pPr>
            <w:r>
              <w:rPr>
                <w:sz w:val="21"/>
                <w:szCs w:val="21"/>
                <w:color w:val="000000"/>
              </w:rPr>
              <w:t xml:space="preserve">分层指标、失败案例、运行记录齐备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  <w:t> </w:t>
      </w:r>
    </w:p>
    <w:p>
      <w:pPr>
        <w:pStyle w:val="Normal"/>
      </w:pPr>
      <w:r>
        <w:t xml:space="preserve">S1 优先打通联合覆盖率和受影响管段长度两类任务，再扩展分支统计、混合几何和坐标转换。正式评测前逐项核对：buffer_query 当前返回到缓冲区的距离，匹配要素通常为 0；clip_and_measure 的 auto 模式存在面积结果与 unit 字段口径需要统一的问题；中间统计不能受 max_results 展示截断影响。以上属于工具合同与实现验证事项。</w:t>
      </w:r>
    </w:p>
    <w:p>
      <w:pPr>
        <w:pStyle w:val="Normal"/>
      </w:pPr>
      <w:r>
        <w:t xml:space="preserve">阶段性目标先以首轮实测建立基线，再设优化目标。原方案的 L0 至 L4 正确率建议可作为研究参考，不作为已有成绩或甲方验收条件。重点报告 L2、L3 的严格规划、执行结果和主要失败类型。</w:t>
      </w:r>
    </w:p>
    <w:p>
      <w:pPr>
        <w:pStyle w:val="Normal"/>
      </w:pPr>
      <w:r>
        <w:t xml:space="preserve">建议归档 test_sets、fixtures、gold_sql、gold_results、runs 和 reports 六类资产。正式题集、标准答案与运行结果分开保存，保留审核信息及数据摘要。</w:t>
      </w:r>
    </w:p>
    <w:p>
      <w:pPr>
        <w:pStyle w:val="Heading2"/>
      </w:pPr>
      <w:r>
        <w:t xml:space="preserve">后续扩展</w:t>
      </w:r>
    </w:p>
    <w:p>
      <w:pPr>
        <w:pStyle w:val="Normal"/>
      </w:pPr>
      <w:r>
        <w:t xml:space="preserve">在规划与执行评测稳定后，再加入真实燃气水务接口、规模化性能、带时间字段的时空查询、管网连通分析和 DEM 或影像任务。二维 Geometry 已足以支撑本轮核心问题，Topology 与 Raster 按数据和业务要求引入。</w:t>
      </w:r>
    </w:p>
    <w:p>
      <w:pPr>
        <w:pStyle w:val="Heading2"/>
      </w:pPr>
      <w:r>
        <w:t xml:space="preserve">编制依据</w:t>
      </w:r>
    </w:p>
    <w:p>
      <w:pPr>
        <w:pStyle w:val="Normal"/>
      </w:pPr>
      <w:r>
        <w:t xml:space="preserve">项目需求文档 research/gis_agent项目需求.docx；原测试方案 reports/generated/GIS_Agent_Test_Plan_2026.docx；本轮检查的 app/tools/registry.py、schemas.py、postgis_tools.py，app/agent/llm_agent.py、deterministic.py、compare.py、graph.py，以及 sql/001_extensions_and_schema.sql 与 sql/002_seed_mock_data.sql。此版本重新组织验证方法和实施顺序，代码能力扩展与正式题集标注按阶段推进。</w:t>
      </w:r>
    </w:p>
    <w:sectPr>
      <w:footerReference w:type="default" r:id="rIdFooter"/>
      <w:pgSz w:w="12240" w:h="15840"/>
      <w:pgMar w:top="950" w:right="1080" w:bottom="1000" w:left="1080" w:header="360" w:footer="40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87582"/>
      </w:rPr>
      <w:t>GIS Agent 验证方案  ·  </w:t>
    </w:r>
    <w:fldSimple w:instr="PAGE">
      <w:r>
        <w:t>1</w:t>
      </w:r>
    </w:fldSimple>
  </w:p>
</w:ftr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szCs w:val="22"/>
        <w:color w:val="000000"/>
        <w:lang w:val="en-US" w:eastAsia="zh-CN"/>
      </w:rPr>
    </w:rPrDefault>
    <w:pPrDefault>
      <w:pPr>
        <w:spacing w:after="100" w:line="300" w:lineRule="auto"/>
        <w:widowControl/>
      </w:pPr>
    </w:pPrDefault>
  </w:docDefaults>
  <w:style w:type="paragraph" w:default="1" w:styleId="Normal">
    <w:name w:val="Normal"/>
    <w:qFormat/>
    <w:rPr>
      <w:b w:val="0"/>
      <w:bCs w:val="0"/>
      <w:color w:val="000000"/>
    </w:rPr>
  </w:style>
  <w:style w:type="paragraph" w:styleId="Title">
    <w:name w:val="Title"/>
    <w:basedOn w:val="Normal"/>
    <w:next w:val="Normal"/>
    <w:qFormat/>
    <w:pPr>
      <w:keepNext/>
      <w:spacing w:before="120" w:after="240" w:line="360" w:lineRule="auto"/>
    </w:pPr>
    <w:rPr>
      <w:rFonts w:ascii="Calibri" w:hAnsi="Calibri" w:eastAsia="黑体"/>
      <w:b/>
      <w:sz w:val="48"/>
      <w:szCs w:val="48"/>
      <w:color w:val="000000"/>
    </w:rPr>
  </w:style>
  <w:style w:type="paragraph" w:styleId="Heading1">
    <w:name w:val="heading 1"/>
    <w:basedOn w:val="Normal"/>
    <w:next w:val="Normal"/>
    <w:qFormat/>
    <w:pPr>
      <w:keepNext/>
      <w:keepLines/>
      <w:spacing w:before="0" w:after="180"/>
      <w:outlineLvl w:val="0"/>
    </w:pPr>
    <w:rPr>
      <w:rFonts w:eastAsia="黑体"/>
      <w:b/>
      <w:sz w:val="32"/>
      <w:szCs w:val="32"/>
      <w:color w:val="000000"/>
    </w:rPr>
  </w:style>
  <w:style w:type="paragraph" w:styleId="Heading2">
    <w:name w:val="heading 2"/>
    <w:basedOn w:val="Normal"/>
    <w:next w:val="Normal"/>
    <w:qFormat/>
    <w:pPr>
      <w:keepNext/>
      <w:keepLines/>
      <w:spacing w:before="140" w:after="100"/>
      <w:outlineLvl w:val="1"/>
    </w:pPr>
    <w:rPr>
      <w:rFonts w:eastAsia="黑体"/>
      <w:b/>
      <w:sz w:val="25"/>
      <w:szCs w:val="25"/>
      <w:color w:val="00000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GIS Agent 大模型复杂空间问题验证方案</dc:title>
  <dc:subject>PostGIS 多步规划与执行评测</dc:subject>
  <dc:creator>GIS Agent 项目</dc:creator>
  <cp:revision>2</cp:revision>
  <dcterms:created xsi:type="dcterms:W3CDTF">2026-10-15T00:00:00Z</dcterms:created>
</cp:coreProperties>
</file>