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60D61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需求分析</w:t>
      </w:r>
      <w:bookmarkStart w:id="0" w:name="_GoBack"/>
      <w:bookmarkEnd w:id="0"/>
      <w:r>
        <w:rPr>
          <w:rFonts w:hint="eastAsia"/>
          <w:lang w:val="en-US" w:eastAsia="zh-CN"/>
        </w:rPr>
        <w:t>报告</w:t>
      </w:r>
    </w:p>
    <w:p w14:paraId="33FEB95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71094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2025-12-24T06:34:55Z</dcterms:created>
  <dc:creator>hebi_</dc:creator>
  <cp:lastModifiedBy>WPS_1642936424</cp:lastModifiedBy>
  <dcterms:modified xsi:type="dcterms:W3CDTF">2025-12-24T06:37:16Z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eyJoZGlkIjoiOTU0NzQ3ZWFkZjhiZTExMjhjNDZiMjEyODkwMTY1YjciLCJ1c2VySWQiOiIxMzIxNTEyNTU5In0=</vt:lpwstr>
  </property>
  <property fmtid="{D5CDD505-2E9C-101B-9397-08002B2CF9AE}" pid="4" name="ICV">
    <vt:lpwstr>CFFB4A6F1EE04803AA88070A67ADD0E6_12</vt:lpwstr>
  </property>
</Properties>
</file>