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1.此依赖库提供三种方法,分别为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个税计算器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calculateIncomeTax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房贷等额本息算法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calculateEqualPrincipalAndInterest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房贷等额本金算法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calculateEqualPrincipal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2.引入依赖库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865" cy="321246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3.使用个税计算器方法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入参参数需要必填不为空,且大于等于0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onth 缴税期数 Integer类型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income 税前月收入 Double类型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totalSal 五险一金(每月) Double类型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socInsur 专享扣除费 Double类型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Double incomeTaxPayable;//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应纳所得税额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Double paidTaxes;//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已缴税款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Double accumulatedTaxPayable;//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累计应缴税款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Double taxPayableMonth;//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本月应缴税款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Double afterTaxIncome;//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本月税后收入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148330"/>
            <wp:effectExtent l="0" t="0" r="9525" b="127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方法调用示例：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229485"/>
            <wp:effectExtent l="0" t="0" r="5715" b="571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接收返回数据，可自行将数据展示在ide对应页面中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86940"/>
            <wp:effectExtent l="0" t="0" r="3810" b="1016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使用房贷计算器,此处用房贷等额本息算法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注:房贷等额本息和房贷等额本金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出参</w:t>
      </w:r>
      <w:r>
        <w:rPr>
          <w:rFonts w:hint="eastAsia"/>
          <w:color w:val="FF0000"/>
          <w:highlight w:val="yellow"/>
          <w:lang w:val="en-US" w:eastAsia="zh-CN"/>
        </w:rPr>
        <w:t>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入参</w:t>
      </w:r>
      <w:r>
        <w:rPr>
          <w:rFonts w:hint="eastAsia"/>
          <w:color w:val="FF0000"/>
          <w:highlight w:val="yellow"/>
          <w:lang w:val="en-US" w:eastAsia="zh-CN"/>
        </w:rPr>
        <w:t>实体结构一致，只有计算算法结果不同，此处只用房贷等额本息</w:t>
      </w:r>
      <w:r>
        <w:rPr>
          <w:rFonts w:hint="eastAsia"/>
          <w:color w:val="FF0000"/>
          <w:highlight w:val="yellow"/>
          <w:lang w:val="en-US" w:eastAsia="zh-CN"/>
        </w:rPr>
        <w:t>示例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调用calculateEqualPrincipalAndInterest 房贷等额本息算法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入参参数需要必填不为空,且大于等于0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贷款年数为1-30之间包含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输入参数</w:t>
      </w:r>
      <w:r>
        <w:rPr>
          <w:rFonts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@param loanAmount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贷款总额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Double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类型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@param annualInterestRate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贷款利率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Double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类型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@param loanTermInYears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贷款年数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Integer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类型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092835"/>
            <wp:effectExtent l="0" t="0" r="11430" b="1206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输出参数: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sumInterest ;//</w:t>
      </w: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总共需支付的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利息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List&lt;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CalculateReturnStructure</w:t>
      </w: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&gt; (如果30年则返还360期数据)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实体包含返还参数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Integer month;//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月份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还款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期数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principal;//</w:t>
      </w: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本期还款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本金额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interest;//</w:t>
      </w: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本期还款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利息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totalPayment;//</w:t>
      </w: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本期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总计还款金额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sz w:val="19"/>
          <w:szCs w:val="19"/>
          <w:lang w:val="en-US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loanAmount;//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剩余贷款金额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1350" cy="3733800"/>
            <wp:effectExtent l="0" t="0" r="6350" b="0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10155"/>
            <wp:effectExtent l="0" t="0" r="0" b="4445"/>
            <wp:docPr id="4" name="图片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254BF"/>
    <w:multiLevelType w:val="singleLevel"/>
    <w:tmpl w:val="C42254B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lNjkxNDBlMDRiMTIzMmUzNTJhYTM0NWJmZTdiMDgifQ=="/>
  </w:docVars>
  <w:rsids>
    <w:rsidRoot w:val="00000000"/>
    <w:rsid w:val="014D1C6B"/>
    <w:rsid w:val="28D30E22"/>
    <w:rsid w:val="2BCC2645"/>
    <w:rsid w:val="630846D5"/>
    <w:rsid w:val="650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2024-04-18T06:07:00Z</dcterms:created>
  <dc:creator>wb.yanghongjie02</dc:creator>
  <cp:lastModifiedBy>WPS_1559572791</cp:lastModifiedBy>
  <dcterms:modified xsi:type="dcterms:W3CDTF">2024-04-22T08:21:29Z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83E64D0C274A4111AC4D4BE621FAB49B_12</vt:lpwstr>
  </property>
</Properties>
</file>