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rFonts w:ascii="Arial" w:hAnsi="Arial" w:eastAsia="Microsoft YaHei"/>
          <w:b/>
          <w:color w:val="000000"/>
          <w:sz w:val="56"/>
        </w:rPr>
        <w:t>情报采集与持续监控系统</w:t>
      </w:r>
    </w:p>
    <w:p>
      <w:pPr>
        <w:spacing w:after="520"/>
        <w:jc w:val="left"/>
      </w:pPr>
      <w:r>
        <w:rPr>
          <w:rFonts w:ascii="Arial" w:hAnsi="Arial" w:eastAsia="Microsoft YaHei"/>
          <w:b/>
          <w:color w:val="17365D"/>
          <w:sz w:val="44"/>
        </w:rPr>
        <w:t>阶段性设计汇报</w:t>
      </w:r>
    </w:p>
    <w:p>
      <w:pPr>
        <w:spacing w:after="140" w:line="300" w:lineRule="auto"/>
      </w:pPr>
      <w:r>
        <w:rPr>
          <w:rFonts w:ascii="Arial" w:hAnsi="Arial" w:eastAsia="Microsoft YaHei"/>
          <w:sz w:val="21"/>
        </w:rPr>
        <w:t>本报告说明当前系统已经形成的模块化采集架构、精简后的数据库设计、已完成能力和下一阶段实施计划。当前结论是：新闻模块已经具备可运行的采集与统一存储基础，论文和专利模块已完成架构预留，数据库已收敛为可管理的 9 表结构。</w:t>
      </w:r>
    </w:p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75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当前版本</w:t>
            </w:r>
          </w:p>
        </w:tc>
        <w:tc>
          <w:tcPr>
            <w:tcW w:type="dxa" w:w="22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已接入来源</w:t>
            </w:r>
          </w:p>
        </w:tc>
        <w:tc>
          <w:tcPr>
            <w:tcW w:type="dxa" w:w="209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数据库结构</w:t>
            </w:r>
          </w:p>
        </w:tc>
        <w:tc>
          <w:tcPr>
            <w:tcW w:type="dxa" w:w="283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当前重点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Schema v4</w:t>
            </w:r>
          </w:p>
        </w:tc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4 个新闻来源</w:t>
            </w:r>
          </w:p>
        </w:tc>
        <w:tc>
          <w:tcPr>
            <w:tcW w:type="dxa" w:w="209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9 张物理表</w:t>
            </w:r>
          </w:p>
        </w:tc>
        <w:tc>
          <w:tcPr>
            <w:tcW w:type="dxa" w:w="283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持续监控与模块扩展</w:t>
            </w:r>
          </w:p>
        </w:tc>
      </w:tr>
    </w:tbl>
    <w:p>
      <w:pPr>
        <w:spacing w:after="0"/>
      </w:pPr>
    </w:p>
    <w:p>
      <w:pPr>
        <w:spacing w:after="800"/>
      </w:pPr>
    </w:p>
    <w:p>
      <w:r>
        <w:rPr>
          <w:rFonts w:ascii="Arial" w:hAnsi="Arial" w:eastAsia="Microsoft YaHei"/>
          <w:color w:val="666666"/>
          <w:sz w:val="22"/>
        </w:rPr>
        <w:t>汇报日期  2026 年 9 月 18 日</w:t>
      </w:r>
    </w:p>
    <w:p>
      <w:r>
        <w:rPr>
          <w:rFonts w:ascii="Arial" w:hAnsi="Arial" w:eastAsia="Microsoft YaHei"/>
          <w:color w:val="666666"/>
          <w:sz w:val="22"/>
        </w:rPr>
        <w:t>项目阶段  原型验证与架构定型</w:t>
      </w:r>
    </w:p>
    <w:p>
      <w:r>
        <w:br w:type="page"/>
      </w:r>
    </w:p>
    <w:p>
      <w:pPr>
        <w:pStyle w:val="Heading1"/>
      </w:pPr>
      <w:r>
        <w:t>一 项目目标与当前结论</w:t>
      </w:r>
    </w:p>
    <w:p>
      <w:pPr>
        <w:spacing w:after="140" w:line="300" w:lineRule="auto"/>
      </w:pPr>
      <w:r>
        <w:rPr>
          <w:rFonts w:ascii="Arial" w:hAnsi="Arial" w:eastAsia="Microsoft YaHei"/>
          <w:sz w:val="21"/>
        </w:rPr>
        <w:t>系统面向长期情报监控场景：用户提供关键词或主题，系统按天或按周持续访问多个公开来源，完成采集、标准化、去重、存储和结果展示。后续在新闻基础上增加论文和专利模块，并在统一数据基础上开展实体提取、主题归并和趋势分析。</w:t>
      </w:r>
    </w:p>
    <w:p>
      <w:pPr>
        <w:pStyle w:val="Heading2"/>
      </w:pPr>
      <w:r>
        <w:t>当前阶段结论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新闻模块已经接入百度百科、Wikipedia、Google 新闻 RSS 和 DDGS。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来源插件按业务模块物理隔离，新增来源不需要修改核心采集引擎。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新闻、论文和专利分别使用独立资源表，避免不同领域字段相互污染。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数据库从历史上的 30 张物理表精简为 9 张，运行历史和既有新闻数据得到保留。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论文和专利目前属于架构预留，尚未接入正式生产来源。</w:t>
      </w:r>
    </w:p>
    <w:p>
      <w:pPr>
        <w:pStyle w:val="Heading2"/>
      </w:pPr>
      <w:r>
        <w:t>当前能力边界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36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57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已经具备</w:t>
            </w:r>
          </w:p>
        </w:tc>
        <w:tc>
          <w:tcPr>
            <w:tcW w:type="dxa" w:w="340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尚待完成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新闻</w:t>
            </w:r>
          </w:p>
        </w:tc>
        <w:tc>
          <w:tcPr>
            <w:tcW w:type="dxa" w:w="136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可运行</w:t>
            </w:r>
          </w:p>
        </w:tc>
        <w:tc>
          <w:tcPr>
            <w:tcW w:type="dxa" w:w="35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四个来源、统一采集协议、去重入库、前端展示</w:t>
            </w:r>
          </w:p>
        </w:tc>
        <w:tc>
          <w:tcPr>
            <w:tcW w:type="dxa" w:w="340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定时监控管理、更多稳定来源、内容分析</w:t>
            </w:r>
          </w:p>
        </w:tc>
      </w:tr>
      <w:tr>
        <w:tc>
          <w:tcPr>
            <w:tcW w:type="dxa" w:w="1247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论文</w:t>
            </w:r>
          </w:p>
        </w:tc>
        <w:tc>
          <w:tcPr>
            <w:tcW w:type="dxa" w:w="1361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已预留</w:t>
            </w:r>
          </w:p>
        </w:tc>
        <w:tc>
          <w:tcPr>
            <w:tcW w:type="dxa" w:w="35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模块注册、目录隔离、专业字段表</w:t>
            </w:r>
          </w:p>
        </w:tc>
        <w:tc>
          <w:tcPr>
            <w:tcW w:type="dxa" w:w="340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中文论文适配器、增量同步、DOI 归一化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专利</w:t>
            </w:r>
          </w:p>
        </w:tc>
        <w:tc>
          <w:tcPr>
            <w:tcW w:type="dxa" w:w="136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已预留</w:t>
            </w:r>
          </w:p>
        </w:tc>
        <w:tc>
          <w:tcPr>
            <w:tcW w:type="dxa" w:w="35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模块注册、目录隔离、专业字段表</w:t>
            </w:r>
          </w:p>
        </w:tc>
        <w:tc>
          <w:tcPr>
            <w:tcW w:type="dxa" w:w="340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专利数据源、法律状态更新、分类检索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 系统总体架构</w:t>
      </w:r>
    </w:p>
    <w:p>
      <w:pPr>
        <w:spacing w:after="140" w:line="300" w:lineRule="auto"/>
      </w:pPr>
      <w:r>
        <w:rPr>
          <w:rFonts w:ascii="Arial" w:hAnsi="Arial" w:eastAsia="Microsoft YaHei"/>
          <w:sz w:val="21"/>
        </w:rPr>
        <w:t>系统采用模块、来源、执行、存储和控制五层结构。核心原则是让采集器只负责访问外部来源并返回标准数据，由统一引擎负责运行状态、失败隔离和持久化。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93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3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rial" w:hAnsi="Arial" w:eastAsia="Microsoft YaHei"/>
          <w:color w:val="666666"/>
          <w:sz w:val="18"/>
        </w:rPr>
        <w:t>图 1  系统采集与持续监控流程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453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57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当前实现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模块层</w:t>
            </w:r>
          </w:p>
        </w:tc>
        <w:tc>
          <w:tcPr>
            <w:tcW w:type="dxa" w:w="453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定义新闻、论文、专利的能力边界和资源类型</w:t>
            </w:r>
          </w:p>
        </w:tc>
        <w:tc>
          <w:tcPr>
            <w:tcW w:type="dxa" w:w="35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news  paper  patent</w:t>
            </w:r>
          </w:p>
        </w:tc>
      </w:tr>
      <w:tr>
        <w:tc>
          <w:tcPr>
            <w:tcW w:type="dxa" w:w="1247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来源层</w:t>
            </w:r>
          </w:p>
        </w:tc>
        <w:tc>
          <w:tcPr>
            <w:tcW w:type="dxa" w:w="4535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封装外部站点、RSS、搜索接口或浏览器自动化</w:t>
            </w:r>
          </w:p>
        </w:tc>
        <w:tc>
          <w:tcPr>
            <w:tcW w:type="dxa" w:w="35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四个 news 插件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执行层</w:t>
            </w:r>
          </w:p>
        </w:tc>
        <w:tc>
          <w:tcPr>
            <w:tcW w:type="dxa" w:w="453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创建运行记录，依次执行来源，隔离单源失败</w:t>
            </w:r>
          </w:p>
        </w:tc>
        <w:tc>
          <w:tcPr>
            <w:tcW w:type="dxa" w:w="35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统一 CollectionRequest</w:t>
            </w:r>
          </w:p>
        </w:tc>
      </w:tr>
      <w:tr>
        <w:tc>
          <w:tcPr>
            <w:tcW w:type="dxa" w:w="1247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存储层</w:t>
            </w:r>
          </w:p>
        </w:tc>
        <w:tc>
          <w:tcPr>
            <w:tcW w:type="dxa" w:w="4535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统一去重并写入对应模块资源表</w:t>
            </w:r>
          </w:p>
        </w:tc>
        <w:tc>
          <w:tcPr>
            <w:tcW w:type="dxa" w:w="357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MySQL Schema v4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控制层</w:t>
            </w:r>
          </w:p>
        </w:tc>
        <w:tc>
          <w:tcPr>
            <w:tcW w:type="dxa" w:w="453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配置来源、提交任务、查看日志与结果</w:t>
            </w:r>
          </w:p>
        </w:tc>
        <w:tc>
          <w:tcPr>
            <w:tcW w:type="dxa" w:w="35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Flask API 与管理面板</w:t>
            </w:r>
          </w:p>
        </w:tc>
      </w:tr>
    </w:tbl>
    <w:p>
      <w:pPr>
        <w:spacing w:after="0"/>
      </w:pPr>
    </w:p>
    <w:p>
      <w:pPr>
        <w:pStyle w:val="Heading2"/>
      </w:pPr>
      <w:r>
        <w:t>采集标准化协议</w:t>
      </w:r>
    </w:p>
    <w:p>
      <w:pPr>
        <w:spacing w:after="140" w:line="300" w:lineRule="auto"/>
      </w:pPr>
      <w:r>
        <w:rPr>
          <w:rFonts w:ascii="Arial" w:hAnsi="Arial" w:eastAsia="Microsoft YaHei"/>
          <w:sz w:val="21"/>
        </w:rPr>
        <w:t>每个来源插件接收同一种采集请求，返回统一的 SourceItem。标题、链接、摘要、正文、作者、发布者和时间等公共字段直接入库；来源特有字段进入 metadata_json。采集源无法直接操作数据库，从而保持插件可替换、可测试。</w:t>
      </w:r>
    </w:p>
    <w:p>
      <w:r>
        <w:br w:type="page"/>
      </w:r>
    </w:p>
    <w:p>
      <w:pPr>
        <w:pStyle w:val="Heading1"/>
      </w:pPr>
      <w:r>
        <w:t>三 数据存储设计</w:t>
      </w:r>
    </w:p>
    <w:p>
      <w:pPr>
        <w:spacing w:after="140" w:line="300" w:lineRule="auto"/>
      </w:pPr>
      <w:r>
        <w:rPr>
          <w:rFonts w:ascii="Arial" w:hAnsi="Arial" w:eastAsia="Microsoft YaHei"/>
          <w:sz w:val="21"/>
        </w:rPr>
        <w:t>数据库采用关系型设计，并允许少量 JSON 承载结构不固定的配置和元数据。固定、重要、需要查询或关联的数据使用普通字段；实体之间的关系使用关系表，不把 ID 列表隐藏在 JSON 中。</w:t>
      </w:r>
    </w:p>
    <w:p>
      <w:pPr>
        <w:pStyle w:val="Heading2"/>
      </w:pPr>
      <w:r>
        <w:t>九张表的职责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c>
          <w:tcPr>
            <w:tcW w:type="dxa" w:w="249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表</w:t>
            </w:r>
          </w:p>
        </w:tc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532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49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sources</w:t>
            </w:r>
          </w:p>
        </w:tc>
        <w:tc>
          <w:tcPr>
            <w:tcW w:type="dxa" w:w="158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来源配置</w:t>
            </w:r>
          </w:p>
        </w:tc>
        <w:tc>
          <w:tcPr>
            <w:tcW w:type="dxa" w:w="532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注册所有采集源及模块、适配器、启停、上限和配置</w:t>
            </w:r>
          </w:p>
        </w:tc>
      </w:tr>
      <w:tr>
        <w:tc>
          <w:tcPr>
            <w:tcW w:type="dxa" w:w="249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monitors</w:t>
            </w:r>
          </w:p>
        </w:tc>
        <w:tc>
          <w:tcPr>
            <w:tcW w:type="dxa" w:w="1587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监控配置</w:t>
            </w:r>
          </w:p>
        </w:tc>
        <w:tc>
          <w:tcPr>
            <w:tcW w:type="dxa" w:w="5329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保存关键词、别名、每日或每周周期及下次执行时间</w:t>
            </w:r>
          </w:p>
        </w:tc>
      </w:tr>
      <w:tr>
        <w:tc>
          <w:tcPr>
            <w:tcW w:type="dxa" w:w="249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monitor_sources</w:t>
            </w:r>
          </w:p>
        </w:tc>
        <w:tc>
          <w:tcPr>
            <w:tcW w:type="dxa" w:w="158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关系与状态</w:t>
            </w:r>
          </w:p>
        </w:tc>
        <w:tc>
          <w:tcPr>
            <w:tcW w:type="dxa" w:w="532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指定任务使用哪些来源，并保存任务级限制和增量游标</w:t>
            </w:r>
          </w:p>
        </w:tc>
      </w:tr>
      <w:tr>
        <w:tc>
          <w:tcPr>
            <w:tcW w:type="dxa" w:w="249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monitor_runs</w:t>
            </w:r>
          </w:p>
        </w:tc>
        <w:tc>
          <w:tcPr>
            <w:tcW w:type="dxa" w:w="1587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执行记录</w:t>
            </w:r>
          </w:p>
        </w:tc>
        <w:tc>
          <w:tcPr>
            <w:tcW w:type="dxa" w:w="5329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保存每次手动或定时执行的状态、数量、错误和来源摘要</w:t>
            </w:r>
          </w:p>
        </w:tc>
      </w:tr>
      <w:tr>
        <w:tc>
          <w:tcPr>
            <w:tcW w:type="dxa" w:w="249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news_resources</w:t>
            </w:r>
          </w:p>
        </w:tc>
        <w:tc>
          <w:tcPr>
            <w:tcW w:type="dxa" w:w="158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业务数据</w:t>
            </w:r>
          </w:p>
        </w:tc>
        <w:tc>
          <w:tcPr>
            <w:tcW w:type="dxa" w:w="532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保存新闻、百科和搜索结果</w:t>
            </w:r>
          </w:p>
        </w:tc>
      </w:tr>
      <w:tr>
        <w:tc>
          <w:tcPr>
            <w:tcW w:type="dxa" w:w="249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paper_resources</w:t>
            </w:r>
          </w:p>
        </w:tc>
        <w:tc>
          <w:tcPr>
            <w:tcW w:type="dxa" w:w="1587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业务数据</w:t>
            </w:r>
          </w:p>
        </w:tc>
        <w:tc>
          <w:tcPr>
            <w:tcW w:type="dxa" w:w="5329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保存论文及 DOI、作者、期刊、卷期、基金等字段</w:t>
            </w:r>
          </w:p>
        </w:tc>
      </w:tr>
      <w:tr>
        <w:tc>
          <w:tcPr>
            <w:tcW w:type="dxa" w:w="249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patent_resources</w:t>
            </w:r>
          </w:p>
        </w:tc>
        <w:tc>
          <w:tcPr>
            <w:tcW w:type="dxa" w:w="158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业务数据</w:t>
            </w:r>
          </w:p>
        </w:tc>
        <w:tc>
          <w:tcPr>
            <w:tcW w:type="dxa" w:w="532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保存专利号、申请人、发明人、分类和法律状态</w:t>
            </w:r>
          </w:p>
        </w:tc>
      </w:tr>
      <w:tr>
        <w:tc>
          <w:tcPr>
            <w:tcW w:type="dxa" w:w="249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monitor_resource_matches</w:t>
            </w:r>
          </w:p>
        </w:tc>
        <w:tc>
          <w:tcPr>
            <w:tcW w:type="dxa" w:w="1587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业务关系</w:t>
            </w:r>
          </w:p>
        </w:tc>
        <w:tc>
          <w:tcPr>
            <w:tcW w:type="dxa" w:w="5329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保存监控任务与资源之间的多对多命中关系</w:t>
            </w:r>
          </w:p>
        </w:tc>
      </w:tr>
      <w:tr>
        <w:tc>
          <w:tcPr>
            <w:tcW w:type="dxa" w:w="249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schema_migrations</w:t>
            </w:r>
          </w:p>
        </w:tc>
        <w:tc>
          <w:tcPr>
            <w:tcW w:type="dxa" w:w="158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系统管理</w:t>
            </w:r>
          </w:p>
        </w:tc>
        <w:tc>
          <w:tcPr>
            <w:tcW w:type="dxa" w:w="532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记录数据库结构版本，不参与日常业务</w:t>
            </w:r>
          </w:p>
        </w:tc>
      </w:tr>
    </w:tbl>
    <w:p>
      <w:pPr>
        <w:spacing w:after="0"/>
      </w:pPr>
    </w:p>
    <w:p>
      <w:pPr>
        <w:pStyle w:val="Heading2"/>
      </w:pPr>
      <w:r>
        <w:t>为什么新闻只使用一张资源表</w:t>
      </w:r>
    </w:p>
    <w:p>
      <w:pPr>
        <w:spacing w:after="140" w:line="300" w:lineRule="auto"/>
      </w:pPr>
      <w:r>
        <w:rPr>
          <w:rFonts w:ascii="Arial" w:hAnsi="Arial" w:eastAsia="Microsoft YaHei"/>
          <w:sz w:val="21"/>
        </w:rPr>
        <w:t>百度百科、Wikipedia、Google 新闻 RSS 和 DDGS 虽然返回结构不同，但都可以归一为标题、链接、摘要、正文、来源、发布时间等公共字段。通过 source_key 区分来源，通过 resource_type 区分百科、新闻文章和搜索结果，少量来源专属字段放入 metadata_json。新增新闻来源时不需要新增数据表。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91" w:bottom="1020" w:left="1191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四 数据库 ER 图</w:t>
      </w:r>
    </w:p>
    <w:p>
      <w:pPr>
        <w:spacing w:after="140" w:line="300" w:lineRule="auto"/>
      </w:pPr>
      <w:r>
        <w:rPr>
          <w:rFonts w:ascii="Arial" w:hAnsi="Arial" w:eastAsia="Microsoft YaHei"/>
          <w:sz w:val="21"/>
        </w:rPr>
        <w:t>核心外键关系集中在监控配置和运行记录中。三张模块资源表共用 resource_uid 规则；monitor_resource_matches 通过 module_name 与 resource_uid 指向其中一张资源表，这是为了保持三个模块物理隔离。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589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58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rial" w:hAnsi="Arial" w:eastAsia="Microsoft YaHei"/>
          <w:color w:val="666666"/>
          <w:sz w:val="18"/>
        </w:rPr>
        <w:t>图 2  Schema v4 数据库实体关系图</w:t>
      </w:r>
    </w:p>
    <w:p>
      <w:pPr>
        <w:sectPr>
          <w:type w:val="nextPage"/>
          <w:pgSz w:w="16838" w:h="11906" w:orient="landscape"/>
          <w:pgMar w:top="765" w:right="850" w:bottom="765" w:left="85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五 数据关系与去重策略</w:t>
      </w:r>
    </w:p>
    <w:p>
      <w:pPr>
        <w:pStyle w:val="Heading2"/>
      </w:pPr>
      <w:r>
        <w:t>核心关系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c>
          <w:tcPr>
            <w:tcW w:type="dxa" w:w="232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85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8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实现方式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monitors 到 sources</w:t>
            </w:r>
          </w:p>
        </w:tc>
        <w:tc>
          <w:tcPr>
            <w:tcW w:type="dxa" w:w="385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一个任务选择多个来源，一个来源服务多个任务</w:t>
            </w:r>
          </w:p>
        </w:tc>
        <w:tc>
          <w:tcPr>
            <w:tcW w:type="dxa" w:w="328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monitor_sources 多对多关系表</w:t>
            </w:r>
          </w:p>
        </w:tc>
      </w:tr>
      <w:tr>
        <w:tc>
          <w:tcPr>
            <w:tcW w:type="dxa" w:w="232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monitors 到 runs</w:t>
            </w:r>
          </w:p>
        </w:tc>
        <w:tc>
          <w:tcPr>
            <w:tcW w:type="dxa" w:w="3855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一个任务产生多次执行记录</w:t>
            </w:r>
          </w:p>
        </w:tc>
        <w:tc>
          <w:tcPr>
            <w:tcW w:type="dxa" w:w="328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monitor_runs.monitor_id 外键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sources 到 resources</w:t>
            </w:r>
          </w:p>
        </w:tc>
        <w:tc>
          <w:tcPr>
            <w:tcW w:type="dxa" w:w="385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一个来源产生多条模块资源</w:t>
            </w:r>
          </w:p>
        </w:tc>
        <w:tc>
          <w:tcPr>
            <w:tcW w:type="dxa" w:w="328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各资源表 source_key</w:t>
            </w:r>
          </w:p>
        </w:tc>
      </w:tr>
      <w:tr>
        <w:tc>
          <w:tcPr>
            <w:tcW w:type="dxa" w:w="232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monitors 到 resources</w:t>
            </w:r>
          </w:p>
        </w:tc>
        <w:tc>
          <w:tcPr>
            <w:tcW w:type="dxa" w:w="3855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一个资源可以被多个监控主题命中</w:t>
            </w:r>
          </w:p>
        </w:tc>
        <w:tc>
          <w:tcPr>
            <w:tcW w:type="dxa" w:w="328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monitor_resource_matches</w:t>
            </w:r>
          </w:p>
        </w:tc>
      </w:tr>
    </w:tbl>
    <w:p>
      <w:pPr>
        <w:spacing w:after="0"/>
      </w:pPr>
    </w:p>
    <w:p>
      <w:pPr>
        <w:pStyle w:val="Heading2"/>
      </w:pPr>
      <w:r>
        <w:t>资源身份</w:t>
      </w:r>
    </w:p>
    <w:p>
      <w:pPr>
        <w:spacing w:after="140" w:line="300" w:lineRule="auto"/>
      </w:pPr>
      <w:r>
        <w:rPr>
          <w:rFonts w:ascii="Arial" w:hAnsi="Arial" w:eastAsia="Microsoft YaHei"/>
          <w:sz w:val="21"/>
        </w:rPr>
        <w:t>资源身份不包含用户输入的搜索词。这样 F-22、F22 或猛禽战斗机等不同关键词再次发现同一来源记录时，会更新已有资源而不是重复插入。</w:t>
      </w:r>
    </w:p>
    <w:p>
      <w:pPr>
        <w:keepNext w:val="0"/>
        <w:keepLines/>
        <w:spacing w:after="60" w:line="276" w:lineRule="auto"/>
        <w:ind w:left="369" w:hanging="198"/>
      </w:pPr>
      <w:r>
        <w:rPr>
          <w:rFonts w:ascii="Arial" w:hAnsi="Arial" w:eastAsia="Microsoft YaHei"/>
          <w:sz w:val="20"/>
        </w:rPr>
        <w:t>•  identity_hash：来源内部稳定身份，优先使用来源 ID、DOI、专利号，否则使用 URL。</w:t>
      </w:r>
    </w:p>
    <w:p>
      <w:pPr>
        <w:keepNext w:val="0"/>
        <w:keepLines/>
        <w:spacing w:after="60" w:line="276" w:lineRule="auto"/>
        <w:ind w:left="369" w:hanging="198"/>
      </w:pPr>
      <w:r>
        <w:rPr>
          <w:rFonts w:ascii="Arial" w:hAnsi="Arial" w:eastAsia="Microsoft YaHei"/>
          <w:sz w:val="20"/>
        </w:rPr>
        <w:t>•  canonical_hash：识别不同来源可能指向的同一内容，但当前不强制合并。</w:t>
      </w:r>
    </w:p>
    <w:p>
      <w:pPr>
        <w:keepNext w:val="0"/>
        <w:keepLines/>
        <w:spacing w:after="60" w:line="276" w:lineRule="auto"/>
        <w:ind w:left="369" w:hanging="198"/>
      </w:pPr>
      <w:r>
        <w:rPr>
          <w:rFonts w:ascii="Arial" w:hAnsi="Arial" w:eastAsia="Microsoft YaHei"/>
          <w:sz w:val="20"/>
        </w:rPr>
        <w:t>•  content_hash：判断标题、摘要、正文或元数据是否发生变化。</w:t>
      </w:r>
    </w:p>
    <w:p>
      <w:pPr>
        <w:keepNext w:val="0"/>
        <w:keepLines/>
        <w:spacing w:after="60" w:line="276" w:lineRule="auto"/>
        <w:ind w:left="369" w:hanging="198"/>
      </w:pPr>
      <w:r>
        <w:rPr>
          <w:rFonts w:ascii="Arial" w:hAnsi="Arial" w:eastAsia="Microsoft YaHei"/>
          <w:sz w:val="20"/>
        </w:rPr>
        <w:t>•  resource_uid：跨运行稳定的资源编号，用于监控命中关系。</w:t>
      </w:r>
    </w:p>
    <w:p>
      <w:pPr>
        <w:pStyle w:val="Heading2"/>
      </w:pPr>
      <w:r>
        <w:t>JSON 的使用边界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c>
          <w:tcPr>
            <w:tcW w:type="dxa" w:w="470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可以使用 JSON</w:t>
            </w:r>
          </w:p>
        </w:tc>
        <w:tc>
          <w:tcPr>
            <w:tcW w:type="dxa" w:w="470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必须使用关系字段或关系表</w:t>
            </w:r>
          </w:p>
        </w:tc>
      </w:tr>
      <w:tr>
        <w:tc>
          <w:tcPr>
            <w:tcW w:type="dxa" w:w="470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来源特有配置和支持模式</w:t>
            </w:r>
          </w:p>
        </w:tc>
        <w:tc>
          <w:tcPr>
            <w:tcW w:type="dxa" w:w="470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来源、任务和资源的主键</w:t>
            </w:r>
          </w:p>
        </w:tc>
      </w:tr>
      <w:tr>
        <w:tc>
          <w:tcPr>
            <w:tcW w:type="dxa" w:w="470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分页游标和同步状态</w:t>
            </w:r>
          </w:p>
        </w:tc>
        <w:tc>
          <w:tcPr>
            <w:tcW w:type="dxa" w:w="470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任务选择来源的多对多关系</w:t>
            </w:r>
          </w:p>
        </w:tc>
      </w:tr>
      <w:tr>
        <w:tc>
          <w:tcPr>
            <w:tcW w:type="dxa" w:w="470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运行中各来源的结果摘要</w:t>
            </w:r>
          </w:p>
        </w:tc>
        <w:tc>
          <w:tcPr>
            <w:tcW w:type="dxa" w:w="470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任务与资源的多对多命中关系</w:t>
            </w:r>
          </w:p>
        </w:tc>
      </w:tr>
      <w:tr>
        <w:tc>
          <w:tcPr>
            <w:tcW w:type="dxa" w:w="470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来源特有元数据和列表字段</w:t>
            </w:r>
          </w:p>
        </w:tc>
        <w:tc>
          <w:tcPr>
            <w:tcW w:type="dxa" w:w="470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需要频繁筛选、排序和统计的核心字段</w:t>
            </w:r>
          </w:p>
        </w:tc>
      </w:tr>
    </w:tbl>
    <w:p>
      <w:pPr>
        <w:spacing w:after="0"/>
      </w:pPr>
    </w:p>
    <w:p>
      <w:pPr>
        <w:pStyle w:val="Heading1"/>
      </w:pPr>
      <w:r>
        <w:t>六 当前实现与验证结果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c>
          <w:tcPr>
            <w:tcW w:type="dxa" w:w="19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141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612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数据库迁移</w:t>
            </w:r>
          </w:p>
        </w:tc>
        <w:tc>
          <w:tcPr>
            <w:tcW w:type="dxa" w:w="141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通过</w:t>
            </w:r>
          </w:p>
        </w:tc>
        <w:tc>
          <w:tcPr>
            <w:tcW w:type="dxa" w:w="612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从 30 张物理表收敛到 9 张，迁移前已生成完整快照</w:t>
            </w:r>
          </w:p>
        </w:tc>
      </w:tr>
      <w:tr>
        <w:tc>
          <w:tcPr>
            <w:tcW w:type="dxa" w:w="192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历史数据</w:t>
            </w:r>
          </w:p>
        </w:tc>
        <w:tc>
          <w:tcPr>
            <w:tcW w:type="dxa" w:w="1417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保留</w:t>
            </w:r>
          </w:p>
        </w:tc>
        <w:tc>
          <w:tcPr>
            <w:tcW w:type="dxa" w:w="612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迁移验证时保留 108 条新闻资源和 5 次历史运行</w:t>
            </w:r>
          </w:p>
        </w:tc>
      </w:tr>
      <w:tr>
        <w:tc>
          <w:tcPr>
            <w:tcW w:type="dxa" w:w="19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运行摘要</w:t>
            </w:r>
          </w:p>
        </w:tc>
        <w:tc>
          <w:tcPr>
            <w:tcW w:type="dxa" w:w="141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保留</w:t>
            </w:r>
          </w:p>
        </w:tc>
        <w:tc>
          <w:tcPr>
            <w:tcW w:type="dxa" w:w="612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20 条来源运行明细已合并进对应 monitor_runs</w:t>
            </w:r>
          </w:p>
        </w:tc>
      </w:tr>
      <w:tr>
        <w:tc>
          <w:tcPr>
            <w:tcW w:type="dxa" w:w="192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来源插件</w:t>
            </w:r>
          </w:p>
        </w:tc>
        <w:tc>
          <w:tcPr>
            <w:tcW w:type="dxa" w:w="1417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正常</w:t>
            </w:r>
          </w:p>
        </w:tc>
        <w:tc>
          <w:tcPr>
            <w:tcW w:type="dxa" w:w="612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四个 news 插件完成注册并由统一引擎调用</w:t>
            </w:r>
          </w:p>
        </w:tc>
      </w:tr>
      <w:tr>
        <w:tc>
          <w:tcPr>
            <w:tcW w:type="dxa" w:w="19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数据库链路</w:t>
            </w:r>
          </w:p>
        </w:tc>
        <w:tc>
          <w:tcPr>
            <w:tcW w:type="dxa" w:w="141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通过</w:t>
            </w:r>
          </w:p>
        </w:tc>
        <w:tc>
          <w:tcPr>
            <w:tcW w:type="dxa" w:w="612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游标、入库、去重、运行摘要和监控命中关系均完成验证</w:t>
            </w:r>
          </w:p>
        </w:tc>
      </w:tr>
      <w:tr>
        <w:tc>
          <w:tcPr>
            <w:tcW w:type="dxa" w:w="192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自动化测试</w:t>
            </w:r>
          </w:p>
        </w:tc>
        <w:tc>
          <w:tcPr>
            <w:tcW w:type="dxa" w:w="1417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通过</w:t>
            </w:r>
          </w:p>
        </w:tc>
        <w:tc>
          <w:tcPr>
            <w:tcW w:type="dxa" w:w="6123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当前 9 项测试全部通过</w:t>
            </w:r>
          </w:p>
        </w:tc>
      </w:tr>
      <w:tr>
        <w:tc>
          <w:tcPr>
            <w:tcW w:type="dxa" w:w="19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管理面板</w:t>
            </w:r>
          </w:p>
        </w:tc>
        <w:tc>
          <w:tcPr>
            <w:tcW w:type="dxa" w:w="141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可访问</w:t>
            </w:r>
          </w:p>
        </w:tc>
        <w:tc>
          <w:tcPr>
            <w:tcW w:type="dxa" w:w="612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本地地址为 http://127.0.0.1:8080</w:t>
            </w:r>
          </w:p>
        </w:tc>
      </w:tr>
    </w:tbl>
    <w:p>
      <w:pPr>
        <w:spacing w:after="0"/>
      </w:pPr>
    </w:p>
    <w:p>
      <w:pPr>
        <w:pStyle w:val="Heading2"/>
      </w:pPr>
      <w:r>
        <w:t>现阶段限制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持续监控的数据结构已经建立，但每日和每周调度管理界面尚未完整实现。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论文和专利模块目前没有正式采集源，资源表仍为空。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免费公开来源没有稳定性承诺，可能受到限流、反爬、页面结构变化或网络环境影响。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跨来源的同一事件目前只生成 canonical_hash，尚未进行自动聚类和主题合并。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AI 实体提取、相关性分析和自动报告属于下一阶段能力。</w:t>
      </w:r>
    </w:p>
    <w:p>
      <w:r>
        <w:br w:type="page"/>
      </w:r>
    </w:p>
    <w:p>
      <w:pPr>
        <w:pStyle w:val="Heading1"/>
      </w:pPr>
      <w:r>
        <w:t>七 下一阶段计划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c>
          <w:tcPr>
            <w:tcW w:type="dxa" w:w="147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59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主要任务</w:t>
            </w:r>
          </w:p>
        </w:tc>
        <w:tc>
          <w:tcPr>
            <w:tcW w:type="dxa" w:w="340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交付结果</w:t>
            </w:r>
          </w:p>
        </w:tc>
      </w:tr>
      <w:tr>
        <w:tc>
          <w:tcPr>
            <w:tcW w:type="dxa" w:w="147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第一阶段</w:t>
            </w:r>
          </w:p>
        </w:tc>
        <w:tc>
          <w:tcPr>
            <w:tcW w:type="dxa" w:w="4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完成 monitors 和 monitor_sources 管理界面，接入每日和每周调度</w:t>
            </w:r>
          </w:p>
        </w:tc>
        <w:tc>
          <w:tcPr>
            <w:tcW w:type="dxa" w:w="340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用户可创建、暂停和立即执行持续监控任务</w:t>
            </w:r>
          </w:p>
        </w:tc>
      </w:tr>
      <w:tr>
        <w:tc>
          <w:tcPr>
            <w:tcW w:type="dxa" w:w="147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第二阶段</w:t>
            </w:r>
          </w:p>
        </w:tc>
        <w:tc>
          <w:tcPr>
            <w:tcW w:type="dxa" w:w="459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接入中文论文 Agent 和确定性论文适配器</w:t>
            </w:r>
          </w:p>
        </w:tc>
        <w:tc>
          <w:tcPr>
            <w:tcW w:type="dxa" w:w="340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paper 模块形成可用的检索与增量同步链路</w:t>
            </w:r>
          </w:p>
        </w:tc>
      </w:tr>
      <w:tr>
        <w:tc>
          <w:tcPr>
            <w:tcW w:type="dxa" w:w="147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第三阶段</w:t>
            </w:r>
          </w:p>
        </w:tc>
        <w:tc>
          <w:tcPr>
            <w:tcW w:type="dxa" w:w="4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选择专利公开数据源并实现专业字段映射</w:t>
            </w:r>
          </w:p>
        </w:tc>
        <w:tc>
          <w:tcPr>
            <w:tcW w:type="dxa" w:w="340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patent 模块具备申请号、分类和法律状态采集</w:t>
            </w:r>
          </w:p>
        </w:tc>
      </w:tr>
      <w:tr>
        <w:tc>
          <w:tcPr>
            <w:tcW w:type="dxa" w:w="1474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  <w:t>第四阶段</w:t>
            </w:r>
          </w:p>
        </w:tc>
        <w:tc>
          <w:tcPr>
            <w:tcW w:type="dxa" w:w="459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增加实体提取、别名归并、事件聚类和趋势分析</w:t>
            </w:r>
          </w:p>
        </w:tc>
        <w:tc>
          <w:tcPr>
            <w:tcW w:type="dxa" w:w="3402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  <w:t>由资料采集升级为情报分析与报告生成</w:t>
            </w:r>
          </w:p>
        </w:tc>
      </w:tr>
    </w:tbl>
    <w:p>
      <w:pPr>
        <w:spacing w:after="0"/>
      </w:pPr>
    </w:p>
    <w:p>
      <w:pPr>
        <w:pStyle w:val="Heading1"/>
      </w:pPr>
      <w:r>
        <w:t>八 汇报结论</w:t>
      </w:r>
    </w:p>
    <w:p>
      <w:pPr>
        <w:spacing w:after="140" w:line="300" w:lineRule="auto"/>
      </w:pPr>
      <w:r>
        <w:rPr>
          <w:rFonts w:ascii="Arial" w:hAnsi="Arial" w:eastAsia="Microsoft YaHei"/>
          <w:sz w:val="21"/>
        </w:rPr>
        <w:t>当前系统已经完成从一次性爬虫 Demo 到模块化采集平台基础架构的转变。新闻模块验证了来源插件、统一请求、失败隔离、去重入库和前端展示的完整链路；精简后的 9 表数据库能够支持持续监控，同时保持结构清晰。下一步应优先完成调度与监控管理，再逐步接入论文和专利来源，避免在业务尚未验证前继续扩张数据库复杂度。</w:t>
      </w:r>
    </w:p>
    <w:p>
      <w:pPr>
        <w:pStyle w:val="Heading2"/>
      </w:pPr>
      <w:r>
        <w:t>建议汇报顺序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先说明业务目标：围绕关键词持续收集新闻、论文和专利。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再展示当前成果：新闻模块可运行，四个来源已接入。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用系统流程图解释插件化和模块隔离。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用 ER 图解释为什么最终保留 9 张表，以及 JSON 只承担扩展信息。</w:t>
      </w:r>
    </w:p>
    <w:p>
      <w:pPr>
        <w:keepNext w:val="0"/>
        <w:keepLines/>
        <w:spacing w:after="120" w:line="300" w:lineRule="auto"/>
        <w:ind w:left="369" w:hanging="198"/>
      </w:pPr>
      <w:r>
        <w:rPr>
          <w:rFonts w:ascii="Arial" w:hAnsi="Arial" w:eastAsia="Microsoft YaHei"/>
          <w:sz w:val="20"/>
        </w:rPr>
        <w:t>•  最后明确边界和下一阶段计划，避免把预留模块表述为已完成能力。</w:t>
      </w:r>
    </w:p>
    <w:sectPr w:rsidR="00FC693F" w:rsidRPr="0006063C" w:rsidSect="00034616">
      <w:type w:val="nextPage"/>
      <w:pgSz w:w="11906" w:h="16838"/>
      <w:pgMar w:top="1134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66666"/>
        <w:sz w:val="17"/>
      </w:rPr>
      <w:t>情报采集与持续监控系统  阶段性设计汇报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情报采集与持续监控系统阶段性设计汇报</dc:title>
  <dc:subject>系统架构 数据库设计 ER图 阶段性成果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