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1E3A5F"/>
        </w:rPr>
        <w:t>任务 5 · 消融实验（Ablation）改动清单与结果表模板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目的</w:t>
      </w:r>
      <w:r>
        <w:rPr>
          <w:rFonts w:ascii="Microsoft YaHei" w:hAnsi="Microsoft YaHei" w:eastAsia="Microsoft YaHei"/>
          <w:i/>
          <w:color w:val="4B5563"/>
        </w:rPr>
        <w:t>：通过</w:t>
      </w:r>
      <w:r>
        <w:rPr>
          <w:rFonts w:ascii="Microsoft YaHei" w:hAnsi="Microsoft YaHei" w:eastAsia="Microsoft YaHei"/>
          <w:b/>
          <w:i/>
          <w:color w:val="4B5563"/>
        </w:rPr>
        <w:t>移除模型的某个组件</w:t>
      </w:r>
      <w:r>
        <w:rPr>
          <w:rFonts w:ascii="Microsoft YaHei" w:hAnsi="Microsoft YaHei" w:eastAsia="Microsoft YaHei"/>
          <w:i/>
          <w:color w:val="4B5563"/>
        </w:rPr>
        <w:t>，验证该组件对性能的实际贡献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与对比实验的区别</w:t>
      </w:r>
      <w:r>
        <w:rPr>
          <w:rFonts w:ascii="Microsoft YaHei" w:hAnsi="Microsoft YaHei" w:eastAsia="Microsoft YaHei"/>
          <w:i/>
          <w:color w:val="4B5563"/>
        </w:rPr>
        <w:t>：对比实验改的是</w:t>
      </w:r>
      <w:r>
        <w:rPr>
          <w:rFonts w:ascii="Microsoft YaHei" w:hAnsi="Microsoft YaHei" w:eastAsia="Microsoft YaHei"/>
          <w:b/>
          <w:i/>
          <w:color w:val="4B5563"/>
        </w:rPr>
        <w:t>超参数</w:t>
      </w:r>
      <w:r>
        <w:rPr>
          <w:rFonts w:ascii="Microsoft YaHei" w:hAnsi="Microsoft YaHei" w:eastAsia="Microsoft YaHei"/>
          <w:i/>
          <w:color w:val="4B5563"/>
        </w:rPr>
        <w:t>；消融实验改的是</w:t>
      </w:r>
      <w:r>
        <w:rPr>
          <w:rFonts w:ascii="Microsoft YaHei" w:hAnsi="Microsoft YaHei" w:eastAsia="Microsoft YaHei"/>
          <w:b/>
          <w:i/>
          <w:color w:val="4B5563"/>
        </w:rPr>
        <w:t>模型结构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为什么值得做</w:t>
      </w:r>
      <w:r>
        <w:rPr>
          <w:rFonts w:ascii="Microsoft YaHei" w:hAnsi="Microsoft YaHei" w:eastAsia="Microsoft YaHei"/>
          <w:i/>
          <w:color w:val="4B5563"/>
        </w:rPr>
        <w:t xml:space="preserve">：⚠️ </w:t>
      </w:r>
      <w:r>
        <w:rPr>
          <w:rFonts w:ascii="Microsoft YaHei" w:hAnsi="Microsoft YaHei" w:eastAsia="Microsoft YaHei"/>
          <w:b/>
          <w:i/>
          <w:color w:val="4B5563"/>
        </w:rPr>
        <w:t>论文作者没有做任何组件消融</w:t>
      </w:r>
      <w:r>
        <w:rPr>
          <w:rFonts w:ascii="Microsoft YaHei" w:hAnsi="Microsoft YaHei" w:eastAsia="Microsoft YaHei"/>
          <w:i/>
          <w:color w:val="4B5563"/>
        </w:rPr>
        <w:t xml:space="preserve"> —— 因此"3-D + 2-D 混合结构是否真的更优"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这一问题在论文中始终未被严格验证。补上这个实验，就是在填补论文的空白。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日期</w:t>
      </w:r>
      <w:r>
        <w:rPr>
          <w:rFonts w:ascii="Microsoft YaHei" w:hAnsi="Microsoft YaHei" w:eastAsia="Microsoft YaHei"/>
          <w:i/>
          <w:color w:val="4B5563"/>
        </w:rPr>
        <w:t>：2026-09</w:t>
      </w:r>
    </w:p>
    <w:p>
      <w:pPr>
        <w:pStyle w:val="Heading2"/>
      </w:pPr>
      <w:r>
        <w:rPr>
          <w:rFonts w:ascii="SimHei" w:hAnsi="SimHei" w:eastAsia="SimHei"/>
          <w:color w:val="1E3A5F"/>
        </w:rPr>
        <w:t>一、消融方案的三个候选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改动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参数量变化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优点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缺点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A. 去掉 2-D 卷积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conv4 = nn.Identity()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4.84M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8.93M（+84%）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⭐ </w:t>
            </w:r>
            <w:r>
              <w:rPr>
                <w:rFonts w:ascii="Microsoft YaHei" w:hAnsi="Microsoft YaHei" w:eastAsia="Microsoft YaHei"/>
                <w:b/>
                <w:sz w:val="18"/>
              </w:rPr>
              <w:t>直击论文核心主张</w:t>
            </w:r>
            <w:r>
              <w:rPr>
                <w:rFonts w:ascii="Microsoft YaHei" w:hAnsi="Microsoft YaHei" w:eastAsia="Microsoft YaHei"/>
                <w:sz w:val="18"/>
              </w:rPr>
              <w:t>（"混合优于单一"）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参数量显著增加，归因不纯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B. 去掉 Dropout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p=0.4 → 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完全不变（4.84M）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⭐ </w:t>
            </w:r>
            <w:r>
              <w:rPr>
                <w:rFonts w:ascii="Microsoft YaHei" w:hAnsi="Microsoft YaHei" w:eastAsia="Microsoft YaHei"/>
                <w:b/>
                <w:sz w:val="18"/>
              </w:rPr>
              <w:t>方法学最干净</w:t>
            </w:r>
            <w:r>
              <w:rPr>
                <w:rFonts w:ascii="Microsoft YaHei" w:hAnsi="Microsoft YaHei" w:eastAsia="Microsoft YaHei"/>
                <w:sz w:val="18"/>
              </w:rPr>
              <w:t>（参数量零变化）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不涉及论文核心结构主张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C. 1×1 替代 3×3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Conv2d(96,64,(1,1))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4.84M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5.98M（+23%）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保留 2-D 层但</w:t>
            </w:r>
            <w:r>
              <w:rPr>
                <w:rFonts w:ascii="Microsoft YaHei" w:hAnsi="Microsoft YaHei" w:eastAsia="Microsoft YaHei"/>
                <w:b/>
                <w:sz w:val="18"/>
              </w:rPr>
              <w:t>去掉空间邻域混合</w:t>
            </w:r>
            <w:r>
              <w:rPr>
                <w:rFonts w:ascii="Microsoft YaHei" w:hAnsi="Microsoft YaHei" w:eastAsia="Microsoft YaHei"/>
                <w:sz w:val="18"/>
              </w:rPr>
              <w:t>，定位更精确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参数量仍有变化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推荐组合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必做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B（去掉 Dropout）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参数量零变化，</w:t>
            </w:r>
            <w:r>
              <w:rPr>
                <w:rFonts w:ascii="Microsoft YaHei" w:hAnsi="Microsoft YaHei" w:eastAsia="Microsoft YaHei"/>
                <w:b/>
                <w:sz w:val="18"/>
              </w:rPr>
              <w:t>唯一能做到严格控制变量的消融</w:t>
            </w:r>
            <w:r>
              <w:rPr>
                <w:rFonts w:ascii="Microsoft YaHei" w:hAnsi="Microsoft YaHei" w:eastAsia="Microsoft YaHei"/>
                <w:sz w:val="18"/>
              </w:rPr>
              <w:t>；且论文未报告 dropout 值，正好补充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强烈建议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A（去掉 2-D 卷积）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直接检验论文核心主张，</w:t>
            </w:r>
            <w:r>
              <w:rPr>
                <w:rFonts w:ascii="Microsoft YaHei" w:hAnsi="Microsoft YaHei" w:eastAsia="Microsoft YaHei"/>
                <w:b/>
                <w:sz w:val="18"/>
              </w:rPr>
              <w:t>论文的空白点</w:t>
            </w:r>
            <w:r>
              <w:rPr>
                <w:rFonts w:ascii="Microsoft YaHei" w:hAnsi="Microsoft YaHei" w:eastAsia="Microsoft YaHei"/>
                <w:sz w:val="18"/>
              </w:rPr>
              <w:t>，学术价值最高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可选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C（1×1 替代）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若时间充裕，可将 A 的结论进一步细化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如果只做一组</w:t>
      </w:r>
      <w:r>
        <w:rPr>
          <w:rFonts w:ascii="Microsoft YaHei" w:hAnsi="Microsoft YaHei" w:eastAsia="Microsoft YaHei"/>
          <w:i/>
          <w:color w:val="4B5563"/>
        </w:rPr>
        <w:t xml:space="preserve">：选 </w:t>
      </w:r>
      <w:r>
        <w:rPr>
          <w:rFonts w:ascii="Microsoft YaHei" w:hAnsi="Microsoft YaHei" w:eastAsia="Microsoft YaHei"/>
          <w:b/>
          <w:i/>
          <w:color w:val="4B5563"/>
        </w:rPr>
        <w:t>A</w:t>
      </w:r>
      <w:r>
        <w:rPr>
          <w:rFonts w:ascii="Microsoft YaHei" w:hAnsi="Microsoft YaHei" w:eastAsia="Microsoft YaHei"/>
          <w:i/>
          <w:color w:val="4B5563"/>
        </w:rPr>
        <w:t>（学术价值更高，且必须主动说明参数量变化这个局限）。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如果做两组</w:t>
      </w:r>
      <w:r>
        <w:rPr>
          <w:rFonts w:ascii="Microsoft YaHei" w:hAnsi="Microsoft YaHei" w:eastAsia="Microsoft YaHei"/>
          <w:i/>
          <w:color w:val="4B5563"/>
        </w:rPr>
        <w:t>：</w:t>
      </w:r>
      <w:r>
        <w:rPr>
          <w:rFonts w:ascii="Microsoft YaHei" w:hAnsi="Microsoft YaHei" w:eastAsia="Microsoft YaHei"/>
          <w:b/>
          <w:i/>
          <w:color w:val="4B5563"/>
        </w:rPr>
        <w:t>A + B</w:t>
      </w:r>
      <w:r>
        <w:rPr>
          <w:rFonts w:ascii="Microsoft YaHei" w:hAnsi="Microsoft YaHei" w:eastAsia="Microsoft YaHei"/>
          <w:i/>
          <w:color w:val="4B5563"/>
        </w:rPr>
        <w:t xml:space="preserve"> —— 一组打结构、一组打正则，覆盖面最广。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二、方案 B：去掉 Dropout（</w:t>
      </w:r>
      <w:r>
        <w:rPr>
          <w:rFonts w:ascii="SimHei" w:hAnsi="SimHei" w:eastAsia="SimHei"/>
          <w:b/>
          <w:color w:val="1E3A5F"/>
        </w:rPr>
        <w:t>参数量不变，推荐先做</w:t>
      </w:r>
      <w:r>
        <w:rPr>
          <w:rFonts w:ascii="SimHei" w:hAnsi="SimHei" w:eastAsia="SimHei"/>
          <w:color w:val="1E3A5F"/>
        </w:rPr>
        <w:t>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2.1 改哪里</w:t>
      </w:r>
    </w:p>
    <w:p>
      <w:r>
        <w:rPr>
          <w:rFonts w:ascii="Microsoft YaHei" w:hAnsi="Microsoft YaHei" w:eastAsia="Microsoft YaHei"/>
          <w:b/>
        </w:rPr>
        <w:t>文件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</w:rPr>
        <w:t>HybridSN.ipynb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b/>
        </w:rPr>
        <w:t>第 16 格</w:t>
      </w:r>
      <w:r>
        <w:rPr>
          <w:rFonts w:ascii="Microsoft YaHei" w:hAnsi="Microsoft YaHei" w:eastAsia="Microsoft YaHei"/>
        </w:rPr>
        <w:t xml:space="preserve">（开头注释为 </w:t>
      </w:r>
      <w:r>
        <w:rPr>
          <w:rFonts w:ascii="Consolas" w:hAnsi="Consolas" w:eastAsia="Consolas"/>
        </w:rPr>
        <w:t>## Defination of HybridSN</w:t>
      </w:r>
      <w:r>
        <w:rPr>
          <w:rFonts w:ascii="Microsoft YaHei" w:hAnsi="Microsoft YaHei" w:eastAsia="Microsoft YaHei"/>
        </w:rPr>
        <w:t>）</w:t>
      </w:r>
    </w:p>
    <w:p>
      <w:r>
        <w:rPr>
          <w:rFonts w:ascii="Microsoft YaHei" w:hAnsi="Microsoft YaHei" w:eastAsia="Microsoft YaHei"/>
          <w:b/>
        </w:rPr>
        <w:t>改动（两处 `p=0.4` → `p=0`）</w:t>
      </w:r>
      <w:r>
        <w:rPr>
          <w:rFonts w:ascii="Microsoft YaHei" w:hAnsi="Microsoft YaHei" w:eastAsia="Microsoft YaHei"/>
        </w:rPr>
        <w:t>：</w:t>
      </w:r>
    </w:p>
    <w:p>
      <w:pPr>
        <w:ind w:left="288"/>
      </w:pPr>
      <w:r>
        <w:rPr>
          <w:rFonts w:ascii="Consolas" w:hAnsi="Consolas" w:eastAsia="Consolas"/>
          <w:sz w:val="17"/>
        </w:rPr>
        <w:t># ---------- 原代码 ----------</w:t>
        <w:br/>
        <w:t>self.dense1 = nn.Sequential(</w:t>
        <w:br/>
        <w:t xml:space="preserve">            nn.Linear(self.x2_shape,256),</w:t>
        <w:br/>
        <w:t xml:space="preserve">            nn.ReLU(inplace=True),</w:t>
        <w:br/>
        <w:t xml:space="preserve">            nn.Dropout(p=0.4))          # ← 改这里</w:t>
        <w:br/>
        <w:br/>
        <w:t>self.dense2 = nn.Sequential(</w:t>
        <w:br/>
        <w:t xml:space="preserve">            nn.Linear(256,128),</w:t>
        <w:br/>
        <w:t xml:space="preserve">            nn.ReLU(inplace=True),</w:t>
        <w:br/>
        <w:t xml:space="preserve">            nn.Dropout(p=0.4))          # ← 改这里</w:t>
      </w:r>
    </w:p>
    <w:p>
      <w:pPr>
        <w:ind w:left="288"/>
      </w:pPr>
      <w:r>
        <w:rPr>
          <w:rFonts w:ascii="Consolas" w:hAnsi="Consolas" w:eastAsia="Consolas"/>
          <w:sz w:val="17"/>
        </w:rPr>
        <w:t># ---------- 改为 ----------</w:t>
        <w:br/>
        <w:t>self.dense1 = nn.Sequential(</w:t>
        <w:br/>
        <w:t xml:space="preserve">            nn.Linear(self.x2_shape,256),</w:t>
        <w:br/>
        <w:t xml:space="preserve">            nn.ReLU(inplace=True),</w:t>
        <w:br/>
        <w:t xml:space="preserve">            nn.Dropout(p=0.0))          # 消融：关闭 Dropout</w:t>
        <w:br/>
        <w:br/>
        <w:t>self.dense2 = nn.Sequential(</w:t>
        <w:br/>
        <w:t xml:space="preserve">            nn.Linear(256,128),</w:t>
        <w:br/>
        <w:t xml:space="preserve">            nn.ReLU(inplace=True),</w:t>
        <w:br/>
        <w:t xml:space="preserve">            nn.Dropout(p=0.0))          # 消融：关闭 Dropout</w:t>
      </w:r>
    </w:p>
    <w:p>
      <w:pPr>
        <w:pStyle w:val="Heading3"/>
      </w:pPr>
      <w:r>
        <w:rPr>
          <w:rFonts w:ascii="SimHei" w:hAnsi="SimHei" w:eastAsia="SimHei"/>
          <w:color w:val="1E3A5F"/>
        </w:rPr>
        <w:t>2.2 预期参数量</w:t>
      </w:r>
    </w:p>
    <w:p>
      <w:pPr>
        <w:ind w:left="288"/>
      </w:pPr>
      <w:r>
        <w:rPr>
          <w:rFonts w:ascii="Consolas" w:hAnsi="Consolas" w:eastAsia="Consolas"/>
          <w:sz w:val="17"/>
        </w:rPr>
        <w:t>完整版：4,844,793</w:t>
        <w:br/>
        <w:t>消融版：4,844,793    ← 完全一致（Dropout 无参数）</w:t>
      </w:r>
    </w:p>
    <w:p>
      <w:r>
        <w:rPr>
          <w:rFonts w:ascii="Microsoft YaHei" w:hAnsi="Microsoft YaHei" w:eastAsia="Microsoft YaHei"/>
          <w:b/>
        </w:rPr>
        <w:t>跑之前先用 `torchinfo` 核对 Total params = 4,844,793。对上了才说明改动正确。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2.3 预期现象（可验证的假设）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假设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去掉 Dropout 后</w:t>
            </w:r>
            <w:r>
              <w:rPr>
                <w:rFonts w:ascii="Microsoft YaHei" w:hAnsi="Microsoft YaHei" w:eastAsia="Microsoft YaHei"/>
                <w:b/>
                <w:sz w:val="18"/>
              </w:rPr>
              <w:t>训练集精度略升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无随机丢弃，拟合能力变强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测试集精度可能下降或不升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失去正则化 → 过拟合倾向增强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训练/测试精度差距扩大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这是最直接的证据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⚠️ 注意：本数据集上完整模型已近乎完美（train 0.99992 / test 0.99949，差距仅 0.04 pp），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所以去掉 Dropout 的影响可能很小</w:t>
      </w:r>
      <w:r>
        <w:rPr>
          <w:rFonts w:ascii="Microsoft YaHei" w:hAnsi="Microsoft YaHei" w:eastAsia="Microsoft YaHei"/>
          <w:i/>
          <w:color w:val="4B5563"/>
        </w:rPr>
        <w:t>（波动量级）。若观察不到显著差异，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这本身也是一个结论</w:t>
      </w:r>
      <w:r>
        <w:rPr>
          <w:rFonts w:ascii="Microsoft YaHei" w:hAnsi="Microsoft YaHei" w:eastAsia="Microsoft YaHei"/>
          <w:i/>
          <w:color w:val="4B5563"/>
        </w:rPr>
        <w:t>：说明该数据集上 Dropout 的边际作用有限。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三、方案 A：去掉 2-D 卷积（</w:t>
      </w:r>
      <w:r>
        <w:rPr>
          <w:rFonts w:ascii="SimHei" w:hAnsi="SimHei" w:eastAsia="SimHei"/>
          <w:b/>
          <w:color w:val="1E3A5F"/>
        </w:rPr>
        <w:t>直击论文主张</w:t>
      </w:r>
      <w:r>
        <w:rPr>
          <w:rFonts w:ascii="SimHei" w:hAnsi="SimHei" w:eastAsia="SimHei"/>
          <w:color w:val="1E3A5F"/>
        </w:rPr>
        <w:t>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3.1 改哪里</w:t>
      </w:r>
    </w:p>
    <w:p>
      <w:r>
        <w:rPr>
          <w:rFonts w:ascii="Microsoft YaHei" w:hAnsi="Microsoft YaHei" w:eastAsia="Microsoft YaHei"/>
          <w:b/>
        </w:rPr>
        <w:t>文件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</w:rPr>
        <w:t>HybridSN.ipynb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b/>
        </w:rPr>
        <w:t>第 16 格</w:t>
      </w:r>
    </w:p>
    <w:p>
      <w:r>
        <w:rPr>
          <w:rFonts w:ascii="Microsoft YaHei" w:hAnsi="Microsoft YaHei" w:eastAsia="Microsoft YaHei"/>
          <w:b/>
        </w:rPr>
        <w:t>改动（把 conv4 整段替换为 Identity）</w:t>
      </w:r>
      <w:r>
        <w:rPr>
          <w:rFonts w:ascii="Microsoft YaHei" w:hAnsi="Microsoft YaHei" w:eastAsia="Microsoft YaHei"/>
        </w:rPr>
        <w:t>：</w:t>
      </w:r>
    </w:p>
    <w:p>
      <w:pPr>
        <w:ind w:left="288"/>
      </w:pPr>
      <w:r>
        <w:rPr>
          <w:rFonts w:ascii="Consolas" w:hAnsi="Consolas" w:eastAsia="Consolas"/>
          <w:sz w:val="17"/>
        </w:rPr>
        <w:t># ---------- 原代码 ----------</w:t>
        <w:br/>
        <w:t>self.conv4 = nn.Sequential(</w:t>
        <w:br/>
        <w:t xml:space="preserve">            nn.Conv2d(in_channels=self.x1_shape[1]*self.x1_shape[2],</w:t>
        <w:br/>
        <w:t xml:space="preserve">                      out_channels=64, kernel_size=(3, 3)),</w:t>
        <w:br/>
        <w:t xml:space="preserve">            nn.ReLU(inplace=True))</w:t>
      </w:r>
    </w:p>
    <w:p>
      <w:pPr>
        <w:ind w:left="288"/>
      </w:pPr>
      <w:r>
        <w:rPr>
          <w:rFonts w:ascii="Consolas" w:hAnsi="Consolas" w:eastAsia="Consolas"/>
          <w:sz w:val="17"/>
        </w:rPr>
        <w:t># ---------- 改为 ----------</w:t>
        <w:br/>
        <w:t>self.conv4 = nn.Identity()      # 消融：移除整个 2-D 卷积阶段</w:t>
      </w:r>
    </w:p>
    <w:p>
      <w:pPr>
        <w:pStyle w:val="Heading3"/>
      </w:pPr>
      <w:r>
        <w:rPr>
          <w:rFonts w:ascii="SimHei" w:hAnsi="SimHei" w:eastAsia="SimHei"/>
          <w:color w:val="1E3A5F"/>
        </w:rPr>
        <w:t>3.2 ⭐ 为什么只改这一行就够（不需要手动改 dense1）</w:t>
      </w:r>
    </w:p>
    <w:p>
      <w:r>
        <w:rPr>
          <w:rFonts w:ascii="Microsoft YaHei" w:hAnsi="Microsoft YaHei" w:eastAsia="Microsoft YaHei"/>
        </w:rPr>
        <w:t>代码里有自动重算维度的机制：</w:t>
      </w:r>
    </w:p>
    <w:p>
      <w:pPr>
        <w:ind w:left="288"/>
      </w:pPr>
      <w:r>
        <w:rPr>
          <w:rFonts w:ascii="Consolas" w:hAnsi="Consolas" w:eastAsia="Consolas"/>
          <w:sz w:val="17"/>
        </w:rPr>
        <w:t>self.x1_shape = self.get_shape_after_3dconv()      # (1, 32, 3, 19, 19)</w:t>
        <w:br/>
        <w:t>self.conv4     = ...                                # ← 你只改这里</w:t>
        <w:br/>
        <w:t>self.x2_shape = self.get_shape_after_2dconv()       # ★ 自动重算</w:t>
        <w:br/>
        <w:t>self.dense1   = nn.Sequential(nn.Linear(self.x2_shape, 256), ...)</w:t>
      </w:r>
    </w:p>
    <w:p>
      <w:r>
        <w:rPr>
          <w:rFonts w:ascii="Consolas" w:hAnsi="Consolas" w:eastAsia="Consolas"/>
        </w:rPr>
        <w:t>get_shape_after_2dconv()</w:t>
      </w:r>
      <w:r>
        <w:rPr>
          <w:rFonts w:ascii="Microsoft YaHei" w:hAnsi="Microsoft YaHei" w:eastAsia="Microsoft YaHei"/>
        </w:rPr>
        <w:t xml:space="preserve"> 把 </w:t>
      </w:r>
      <w:r>
        <w:rPr>
          <w:rFonts w:ascii="Consolas" w:hAnsi="Consolas" w:eastAsia="Consolas"/>
        </w:rPr>
        <w:t>(1, 96, 19, 19)</w:t>
      </w:r>
      <w:r>
        <w:rPr>
          <w:rFonts w:ascii="Microsoft YaHei" w:hAnsi="Microsoft YaHei" w:eastAsia="Microsoft YaHei"/>
        </w:rPr>
        <w:t xml:space="preserve"> 过一次 </w:t>
      </w:r>
      <w:r>
        <w:rPr>
          <w:rFonts w:ascii="Consolas" w:hAnsi="Consolas" w:eastAsia="Consolas"/>
        </w:rPr>
        <w:t>self.conv4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conv4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dense1 输入维度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Conv2d(96→64, 3×3)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(1, 64, 17, 17)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18,496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`Identity()`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(1, 96, 19, 19)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34,656</w:t>
            </w:r>
            <w:r>
              <w:rPr>
                <w:rFonts w:ascii="Microsoft YaHei" w:hAnsi="Microsoft YaHei" w:eastAsia="Microsoft YaHei"/>
                <w:sz w:val="18"/>
              </w:rPr>
              <w:t>（自动更新 ✅）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所以你不需要手动改 dense1 —— 代码会自己算。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3.3 预期参数量（</w:t>
      </w:r>
      <w:r>
        <w:rPr>
          <w:rFonts w:ascii="SimHei" w:hAnsi="SimHei" w:eastAsia="SimHei"/>
          <w:b/>
          <w:color w:val="1E3A5F"/>
        </w:rPr>
        <w:t>跑完必须核对</w:t>
      </w:r>
      <w:r>
        <w:rPr>
          <w:rFonts w:ascii="SimHei" w:hAnsi="SimHei" w:eastAsia="SimHei"/>
          <w:color w:val="1E3A5F"/>
        </w:rPr>
        <w:t>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完整版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消融版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conv3d_1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512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512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conv3d_2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5,776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5,776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conv3d_3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13,856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13,856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conv2d_1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55,360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dense_1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4,735,232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8,872,192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dense_2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32,896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32,896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dense_3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1,161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1,161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Total params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4,844,793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8,926,393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重要局限（必须在报告中说明）</w:t>
      </w:r>
      <w:r>
        <w:rPr>
          <w:rFonts w:ascii="Microsoft YaHei" w:hAnsi="Microsoft YaHei" w:eastAsia="Microsoft YaHei"/>
          <w:i/>
          <w:color w:val="4B5563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去掉 2-D 卷积后，参数量反而从 4.84M 增加到 8.93M（+84%）</w:t>
      </w:r>
      <w:r>
        <w:rPr>
          <w:rFonts w:ascii="Microsoft YaHei" w:hAnsi="Microsoft YaHei" w:eastAsia="Microsoft YaHei"/>
          <w:i/>
          <w:color w:val="4B5563"/>
        </w:rPr>
        <w:t xml:space="preserve"> ——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因为展平后的特征从 18,496 维涨到 34,656 维，导致第一个全连接层变大。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因此若消融版精度下降，不能 100% 归因于"少了 2-D 卷积"，也混入了容量变化的影响。</w:t>
      </w:r>
    </w:p>
    <w:p>
      <w:pPr>
        <w:ind w:left="432"/>
      </w:pP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主动写出这个局限，比假装不存在更专业。</w:t>
      </w:r>
      <w:r>
        <w:rPr>
          <w:rFonts w:ascii="Microsoft YaHei" w:hAnsi="Microsoft YaHei" w:eastAsia="Microsoft YaHei"/>
          <w:i/>
          <w:color w:val="4B5563"/>
        </w:rPr>
        <w:t xml:space="preserve"> 若要做严格归因，可参考第六节的"参数量对齐"方案。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四、方案 C：3×3 卷积 → 1×1 卷积（可选，更精细）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4.1 改动</w:t>
      </w:r>
    </w:p>
    <w:p>
      <w:pPr>
        <w:ind w:left="288"/>
      </w:pPr>
      <w:r>
        <w:rPr>
          <w:rFonts w:ascii="Consolas" w:hAnsi="Consolas" w:eastAsia="Consolas"/>
          <w:sz w:val="17"/>
        </w:rPr>
        <w:t># 原</w:t>
        <w:br/>
        <w:t>nn.Conv2d(in_channels=self.x1_shape[1]*self.x1_shape[2],</w:t>
        <w:br/>
        <w:t xml:space="preserve">          out_channels=64, kernel_size=(3, 3))</w:t>
        <w:br/>
        <w:t># 改为</w:t>
        <w:br/>
        <w:t>nn.Conv2d(in_channels=self.x1_shape[1]*self.x1_shape[2],</w:t>
        <w:br/>
        <w:t xml:space="preserve">          out_channels=64, kernel_size=(1, 1))</w:t>
      </w:r>
    </w:p>
    <w:p>
      <w:pPr>
        <w:pStyle w:val="Heading3"/>
      </w:pPr>
      <w:r>
        <w:rPr>
          <w:rFonts w:ascii="SimHei" w:hAnsi="SimHei" w:eastAsia="SimHei"/>
          <w:color w:val="1E3A5F"/>
        </w:rPr>
        <w:t>4.2 预期参数量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完整版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消融版 C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conv2d_1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55,360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6,208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dense1 输入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18,496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23,104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dense_1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4,735,232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5,914,880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Total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4,844,793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5,975,289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4.3 这个方案回答什么问题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"2-D 卷积的作用来自'空间邻域混合'，还是仅仅来自'多了一层非线性变换'？"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1×1 卷积保留了通道混合与非线性，但</w:t>
      </w:r>
      <w:r>
        <w:rPr>
          <w:rFonts w:ascii="Microsoft YaHei" w:hAnsi="Microsoft YaHei" w:eastAsia="Microsoft YaHei"/>
          <w:b/>
          <w:i/>
          <w:color w:val="4B5563"/>
        </w:rPr>
        <w:t>看不见空间邻域</w:t>
      </w:r>
      <w:r>
        <w:rPr>
          <w:rFonts w:ascii="Microsoft YaHei" w:hAnsi="Microsoft YaHei" w:eastAsia="Microsoft YaHei"/>
          <w:i/>
          <w:color w:val="4B5563"/>
        </w:rPr>
        <w:t xml:space="preserve"> →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若精度显著下降，说明</w:t>
      </w:r>
      <w:r>
        <w:rPr>
          <w:rFonts w:ascii="Microsoft YaHei" w:hAnsi="Microsoft YaHei" w:eastAsia="Microsoft YaHei"/>
          <w:b/>
          <w:i/>
          <w:color w:val="4B5563"/>
        </w:rPr>
        <w:t>空间信息是关键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五、操作步骤（严格按顺序）</w:t>
      </w:r>
    </w:p>
    <w:p>
      <w:pPr>
        <w:ind w:left="288"/>
      </w:pPr>
      <w:r>
        <w:rPr>
          <w:rFonts w:ascii="Consolas" w:hAnsi="Consolas" w:eastAsia="Consolas"/>
          <w:sz w:val="17"/>
        </w:rPr>
        <w:t>1. 先备份完整版结果（已存在 results/PU_tr30/，无需再动）</w:t>
        <w:br/>
        <w:t>2. 打开 HybridSN.ipynb 第 16 格，按方案改代码（只改指定的一行/两行）</w:t>
        <w:br/>
        <w:t>3. 【关键】把 SAVE_PATH 改成带消融标记的目录：</w:t>
        <w:br/>
        <w:t xml:space="preserve">       SAVE_PATH = f"results\\{DATASET}_ablation_no2dconv"</w:t>
        <w:br/>
        <w:t xml:space="preserve">       （否则会覆盖已有的 PU(0.10) 等结果）</w:t>
        <w:br/>
        <w:t>4. 确认第 2 格：DATASET='PU'，TRAIN_RATE=0.3，N_PCA=15（与 30% 基线保持一致）</w:t>
        <w:br/>
        <w:t>5. Kernel → Restart Kernel and Clear All Outputs</w:t>
        <w:br/>
        <w:t>6. 从第 1 格开始逐格运行</w:t>
        <w:br/>
        <w:t>7. 【核对】第 16 格输出里 Total params 应等于上表预测值</w:t>
        <w:br/>
        <w:t xml:space="preserve">      - 方案 A：8,926,393</w:t>
        <w:br/>
        <w:t xml:space="preserve">      - 方案 B：4,844,793</w:t>
        <w:br/>
        <w:t xml:space="preserve">      - 方案 C：5,975,289</w:t>
        <w:br/>
        <w:t>8. 跑到第 17 格训练（约 6 分钟）</w:t>
        <w:br/>
        <w:t>9. 跑第 19、20 格 → 生成 classfication_report.txt</w:t>
        <w:br/>
        <w:t>10. 抄录 OA / AA / Kappa / 逐类 recall</w:t>
        <w:br/>
        <w:t>11. 改回代码，恢复原始版本（或备份后另存一份）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第 3 步最容易忘</w:t>
      </w:r>
      <w:r>
        <w:rPr>
          <w:rFonts w:ascii="Microsoft YaHei" w:hAnsi="Microsoft YaHei" w:eastAsia="Microsoft YaHei"/>
          <w:i/>
          <w:color w:val="4B5563"/>
        </w:rPr>
        <w:t xml:space="preserve"> —— 忘了就会覆盖已完成的实验目录。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六、结果对比表模板（跑完直接填）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6.1 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组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Total params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训练样本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测试样本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Kappa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 − AA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Baseline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完整 HybridSN（p=0.4）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12,832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0.999494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0.999225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0.999329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0.0269 pp</w:t>
            </w:r>
          </w:p>
        </w:tc>
      </w:tr>
      <w:tr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去掉 2-D 卷积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8,926,393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12,832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0.999377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0.998783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0.999174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0.0594 pp</w:t>
            </w:r>
          </w:p>
        </w:tc>
      </w:tr>
      <w:tr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去掉 Dropout（p=0）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4,844,793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12,832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0.999065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0.998496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0.998761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0.0569 pp</w:t>
            </w:r>
          </w:p>
        </w:tc>
      </w:tr>
      <w:tr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C（可选）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2-D 卷积换 1×1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5,975,289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12,832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未开展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未开展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未开展</w:t>
            </w:r>
          </w:p>
        </w:tc>
        <w:tc>
          <w:tcPr>
            <w:tcW w:type="dxa" w:w="108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斜体值为</w:t>
      </w:r>
      <w:r>
        <w:rPr>
          <w:rFonts w:ascii="Microsoft YaHei" w:hAnsi="Microsoft YaHei" w:eastAsia="Microsoft YaHei"/>
          <w:b/>
          <w:i/>
          <w:color w:val="4B5563"/>
        </w:rPr>
        <w:t>预测值</w:t>
      </w:r>
      <w:r>
        <w:rPr>
          <w:rFonts w:ascii="Microsoft YaHei" w:hAnsi="Microsoft YaHei" w:eastAsia="Microsoft YaHei"/>
          <w:i/>
          <w:color w:val="4B5563"/>
        </w:rPr>
        <w:t xml:space="preserve">，跑完请用 </w:t>
      </w:r>
      <w:r>
        <w:rPr>
          <w:rFonts w:ascii="Consolas" w:hAnsi="Consolas" w:eastAsia="Consolas"/>
          <w:i/>
          <w:color w:val="4B5563"/>
        </w:rPr>
        <w:t>torchinfo</w:t>
      </w:r>
      <w:r>
        <w:rPr>
          <w:rFonts w:ascii="Microsoft YaHei" w:hAnsi="Microsoft YaHei" w:eastAsia="Microsoft YaHei"/>
          <w:i/>
          <w:color w:val="4B5563"/>
        </w:rPr>
        <w:t xml:space="preserve"> 实测核对并替换。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6.2 逐类 recall 对比（%）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Baseline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A（无 2-D 卷积）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B（无 Dropout）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变化 A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变化 B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Gravel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99.35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99.35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99.18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-0.17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99.95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99.91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99.64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-0.04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-0.31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99.65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99.82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-0.35</w:t>
            </w:r>
          </w:p>
        </w:tc>
        <w:tc>
          <w:tcPr>
            <w:tcW w:type="dxa" w:w="163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-0.18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6.3 训练过程对比（辅助证据）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Baseline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最终训练 loss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2.70e-06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2.85e-06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2.40e-07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最终训练 acc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0.99992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0.99977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1.00000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最终验证 acc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0.99953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0.99953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0.99813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 acc − 测试 OA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0.00043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0.00039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0.00094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最佳模型（epoch）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epoch_79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epoch_49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epoch_84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训练耗时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~6 min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~6 min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~6 min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⭐ </w:t>
      </w:r>
      <w:r>
        <w:rPr>
          <w:rFonts w:ascii="Microsoft YaHei" w:hAnsi="Microsoft YaHei" w:eastAsia="Microsoft YaHei"/>
          <w:b/>
          <w:i/>
          <w:color w:val="4B5563"/>
        </w:rPr>
        <w:t>重点关注最后两行</w:t>
      </w:r>
      <w:r>
        <w:rPr>
          <w:rFonts w:ascii="Microsoft YaHei" w:hAnsi="Microsoft YaHei" w:eastAsia="Microsoft YaHei"/>
          <w:i/>
          <w:color w:val="4B5563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- </w:t>
      </w:r>
      <w:r>
        <w:rPr>
          <w:rFonts w:ascii="Microsoft YaHei" w:hAnsi="Microsoft YaHei" w:eastAsia="Microsoft YaHei"/>
          <w:b/>
          <w:i/>
          <w:color w:val="4B5563"/>
        </w:rPr>
        <w:t>"训练 acc − 测试 OA"的差距</w:t>
      </w:r>
      <w:r>
        <w:rPr>
          <w:rFonts w:ascii="Microsoft YaHei" w:hAnsi="Microsoft YaHei" w:eastAsia="Microsoft YaHei"/>
          <w:i/>
          <w:color w:val="4B5563"/>
        </w:rPr>
        <w:t xml:space="preserve"> = 过拟合程度。去掉 Dropout 后若该差距扩大，就是过拟合的直接证据。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- </w:t>
      </w:r>
      <w:r>
        <w:rPr>
          <w:rFonts w:ascii="Microsoft YaHei" w:hAnsi="Microsoft YaHei" w:eastAsia="Microsoft YaHei"/>
          <w:b/>
          <w:i/>
          <w:color w:val="4B5563"/>
        </w:rPr>
        <w:t>训练耗时</w:t>
      </w:r>
      <w:r>
        <w:rPr>
          <w:rFonts w:ascii="Microsoft YaHei" w:hAnsi="Microsoft YaHei" w:eastAsia="Microsoft YaHei"/>
          <w:i/>
          <w:color w:val="4B5563"/>
        </w:rPr>
        <w:t>：去掉 2-D 卷积后参数变多，理论上应更慢；可作为计算开销的旁证。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七、分析框架（跑完照这个写）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① 呈现</w:t>
      </w:r>
    </w:p>
    <w:p>
      <w:r>
        <w:rPr>
          <w:rFonts w:ascii="Microsoft YaHei" w:hAnsi="Microsoft YaHei" w:eastAsia="Microsoft YaHei"/>
        </w:rPr>
        <w:t>主表 + 逐类表</w:t>
      </w:r>
    </w:p>
    <w:p>
      <w:pPr>
        <w:pStyle w:val="Heading3"/>
      </w:pPr>
      <w:r>
        <w:rPr>
          <w:rFonts w:ascii="SimHei" w:hAnsi="SimHei" w:eastAsia="SimHei"/>
          <w:color w:val="1E3A5F"/>
        </w:rPr>
        <w:t>② 对比核心指标</w:t>
      </w:r>
    </w:p>
    <w:p>
      <w:pPr>
        <w:ind w:left="288"/>
      </w:pPr>
      <w:r>
        <w:rPr>
          <w:rFonts w:ascii="Consolas" w:hAnsi="Consolas" w:eastAsia="Consolas"/>
          <w:sz w:val="17"/>
        </w:rPr>
        <w:t>A 版 OA = ?    vs   Baseline 0.99949   →  差 ? pp</w:t>
        <w:br/>
        <w:t>B 版 OA = ?    vs   Baseline 0.99949   →  差 ? pp</w:t>
      </w:r>
    </w:p>
    <w:p>
      <w:pPr>
        <w:pStyle w:val="Heading3"/>
      </w:pPr>
      <w:r>
        <w:rPr>
          <w:rFonts w:ascii="SimHei" w:hAnsi="SimHei" w:eastAsia="SimHei"/>
          <w:color w:val="1E3A5F"/>
        </w:rPr>
        <w:t>③ 判断组件是否有效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 版精度</w:t>
            </w:r>
            <w:r>
              <w:rPr>
                <w:rFonts w:ascii="Microsoft YaHei" w:hAnsi="Microsoft YaHei" w:eastAsia="Microsoft YaHei"/>
                <w:b/>
                <w:sz w:val="18"/>
              </w:rPr>
              <w:t>明显下降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2-D 卷积阶段有实质贡献</w:t>
            </w:r>
            <w:r>
              <w:rPr>
                <w:rFonts w:ascii="Microsoft YaHei" w:hAnsi="Microsoft YaHei" w:eastAsia="Microsoft YaHei"/>
                <w:sz w:val="18"/>
              </w:rPr>
              <w:t xml:space="preserve"> → 支持论文主张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 版精度</w:t>
            </w:r>
            <w:r>
              <w:rPr>
                <w:rFonts w:ascii="Microsoft YaHei" w:hAnsi="Microsoft YaHei" w:eastAsia="Microsoft YaHei"/>
                <w:b/>
                <w:sz w:val="18"/>
              </w:rPr>
              <w:t>基本不变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⚠️ 说明在 30% 训练协议下 2-D 卷积贡献有限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对论文主张提出质疑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 版精度</w:t>
            </w:r>
            <w:r>
              <w:rPr>
                <w:rFonts w:ascii="Microsoft YaHei" w:hAnsi="Microsoft YaHei" w:eastAsia="Microsoft YaHei"/>
                <w:b/>
                <w:sz w:val="18"/>
              </w:rPr>
              <w:t>上升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❗ 说明该组件在此数据集上冗余（需谨慎解释参数量已变化）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两种结论都有价值</w:t>
      </w:r>
      <w:r>
        <w:rPr>
          <w:rFonts w:ascii="Microsoft YaHei" w:hAnsi="Microsoft YaHei" w:eastAsia="Microsoft YaHei"/>
          <w:i/>
          <w:color w:val="4B5563"/>
        </w:rPr>
        <w:t xml:space="preserve"> —— 后者（质疑）更能体现独立思考。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④ 归因与机制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若下降</w:t>
      </w:r>
      <w:r>
        <w:rPr>
          <w:rFonts w:ascii="Microsoft YaHei" w:hAnsi="Microsoft YaHei" w:eastAsia="Microsoft YaHei"/>
        </w:rPr>
        <w:t>：2-D 卷积负责在保留光谱信息的前提下强化空间判别；移除后空间特征提取能力下降 → 边界与易混类（Trees / Gravel / SBB）先退化（</w:t>
      </w:r>
      <w:r>
        <w:rPr>
          <w:rFonts w:ascii="Microsoft YaHei" w:hAnsi="Microsoft YaHei" w:eastAsia="Microsoft YaHei"/>
          <w:b/>
        </w:rPr>
        <w:t>用逐类 recall 验证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若不变</w:t>
      </w:r>
      <w:r>
        <w:rPr>
          <w:rFonts w:ascii="Microsoft YaHei" w:hAnsi="Microsoft YaHei" w:eastAsia="Microsoft YaHei"/>
        </w:rPr>
        <w:t>：可能说明 3-D 阶段已提取了足够的判别信息，或该数据集的空间结构较简单</w:t>
      </w:r>
    </w:p>
    <w:p>
      <w:pPr>
        <w:pStyle w:val="Heading3"/>
      </w:pPr>
      <w:r>
        <w:rPr>
          <w:rFonts w:ascii="SimHei" w:hAnsi="SimHei" w:eastAsia="SimHei"/>
          <w:color w:val="1E3A5F"/>
        </w:rPr>
        <w:t>⑤ ⚠️ 必须说明的局限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参数量不对等</w:t>
      </w:r>
      <w:r>
        <w:rPr>
          <w:rFonts w:ascii="Microsoft YaHei" w:hAnsi="Microsoft YaHei" w:eastAsia="Microsoft YaHei"/>
        </w:rPr>
        <w:t>（A 版 +84%）→ 无法将差异纯归因于结构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单次运行</w:t>
      </w:r>
      <w:r>
        <w:rPr>
          <w:rFonts w:ascii="Microsoft YaHei" w:hAnsi="Microsoft YaHei" w:eastAsia="Microsoft YaHei"/>
        </w:rPr>
        <w:t>，未报告标准差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仅单一数据集</w:t>
      </w:r>
      <w:r>
        <w:rPr>
          <w:rFonts w:ascii="Microsoft YaHei" w:hAnsi="Microsoft YaHei" w:eastAsia="Microsoft YaHei"/>
        </w:rPr>
        <w:t>（PU）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⑥ 与论文对照（关键论点）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论文的核心主张是"</w:t>
      </w:r>
      <w:r>
        <w:rPr>
          <w:rFonts w:ascii="Microsoft YaHei" w:hAnsi="Microsoft YaHei" w:eastAsia="Microsoft YaHei"/>
          <w:b/>
          <w:i/>
          <w:color w:val="4B5563"/>
        </w:rPr>
        <w:t>3-D 与 2-D 卷积互补，混合结构优于任一单一结构</w:t>
      </w:r>
      <w:r>
        <w:rPr>
          <w:rFonts w:ascii="Microsoft YaHei" w:hAnsi="Microsoft YaHei" w:eastAsia="Microsoft YaHei"/>
          <w:i/>
          <w:color w:val="4B5563"/>
        </w:rPr>
        <w:t>"，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但论文</w:t>
      </w:r>
      <w:r>
        <w:rPr>
          <w:rFonts w:ascii="Microsoft YaHei" w:hAnsi="Microsoft YaHei" w:eastAsia="Microsoft YaHei"/>
          <w:b/>
          <w:i/>
          <w:color w:val="4B5563"/>
        </w:rPr>
        <w:t>未提供组件消融证据</w:t>
      </w:r>
      <w:r>
        <w:rPr>
          <w:rFonts w:ascii="Microsoft YaHei" w:hAnsi="Microsoft YaHei" w:eastAsia="Microsoft YaHei"/>
          <w:i/>
          <w:color w:val="4B5563"/>
        </w:rPr>
        <w:t>：既未移除 2-D 卷积，也未做参数量对齐的对照。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本实验在 Pavia University 上补做了这一消融，结果为 ______，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表明 ______。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这提示：论文"混合结构更优"的结论</w:t>
      </w:r>
      <w:r>
        <w:rPr>
          <w:rFonts w:ascii="Microsoft YaHei" w:hAnsi="Microsoft YaHei" w:eastAsia="Microsoft YaHei"/>
          <w:b/>
          <w:i/>
          <w:color w:val="4B5563"/>
        </w:rPr>
        <w:t>尚缺少直接的组件级证据</w:t>
      </w:r>
      <w:r>
        <w:rPr>
          <w:rFonts w:ascii="Microsoft YaHei" w:hAnsi="Microsoft YaHei" w:eastAsia="Microsoft YaHei"/>
          <w:i/>
          <w:color w:val="4B5563"/>
        </w:rPr>
        <w:t>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后续研究应在</w:t>
      </w:r>
      <w:r>
        <w:rPr>
          <w:rFonts w:ascii="Microsoft YaHei" w:hAnsi="Microsoft YaHei" w:eastAsia="Microsoft YaHei"/>
          <w:b/>
          <w:i/>
          <w:color w:val="4B5563"/>
        </w:rPr>
        <w:t>参数量/FLOPs 对齐</w:t>
      </w:r>
      <w:r>
        <w:rPr>
          <w:rFonts w:ascii="Microsoft YaHei" w:hAnsi="Microsoft YaHei" w:eastAsia="Microsoft YaHei"/>
          <w:i/>
          <w:color w:val="4B5563"/>
        </w:rPr>
        <w:t>的条件下重新检验该主张。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八、⚠️ 注意事项（坑清单）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坑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后果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预防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忘改 </w:t>
            </w:r>
            <w:r>
              <w:rPr>
                <w:rFonts w:ascii="Consolas" w:hAnsi="Consolas" w:eastAsia="Consolas"/>
                <w:sz w:val="18"/>
              </w:rPr>
              <w:t>SAVE_PATH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覆盖已完成的实验目录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改成带 </w:t>
            </w:r>
            <w:r>
              <w:rPr>
                <w:rFonts w:ascii="Consolas" w:hAnsi="Consolas" w:eastAsia="Consolas"/>
                <w:sz w:val="18"/>
              </w:rPr>
              <w:t>_ablation_xxx</w:t>
            </w:r>
            <w:r>
              <w:rPr>
                <w:rFonts w:ascii="Microsoft YaHei" w:hAnsi="Microsoft YaHei" w:eastAsia="Microsoft YaHei"/>
                <w:sz w:val="18"/>
              </w:rPr>
              <w:t xml:space="preserve"> 后缀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改完不 Restart Kernel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屏幕上还是旧结果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每次 </w:t>
            </w:r>
            <w:r>
              <w:rPr>
                <w:rFonts w:ascii="Consolas" w:hAnsi="Consolas" w:eastAsia="Consolas"/>
                <w:sz w:val="18"/>
              </w:rPr>
              <w:t>Restart + Clear All Outputs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不核对参数量就开跑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改错了也不知道，白跑 6 分钟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16 格输出核对 Total params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改了超参没保持一致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控制变量失效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确认 </w:t>
            </w:r>
            <w:r>
              <w:rPr>
                <w:rFonts w:ascii="Consolas" w:hAnsi="Consolas" w:eastAsia="Consolas"/>
                <w:sz w:val="18"/>
              </w:rPr>
              <w:t>TRAIN_RATE=0.3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N_PCA=15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lr=0.001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batch=256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epoch=100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跑完忘记恢复代码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后续实验用错模型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备份原始代码，或跑完立刻改回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忽略参数量变化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结论被质疑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在报告中主动说明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九、时间预算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耗时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备份 + 改代码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 min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方案 B（去掉 Dropout）跑一次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~6 min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方案 A（去掉 2-D 卷积）跑一次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~6 min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核对参数量 + 抄数据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 min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写分析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40 min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合计（做 A+B）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约 1 小时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十、可选进阶：参数量对齐的消融</w:t>
      </w:r>
    </w:p>
    <w:p>
      <w:r>
        <w:rPr>
          <w:rFonts w:ascii="Microsoft YaHei" w:hAnsi="Microsoft YaHei" w:eastAsia="Microsoft YaHei"/>
        </w:rPr>
        <w:t>若想让"去掉 2-D 卷积"的归因更严格，可</w:t>
      </w:r>
      <w:r>
        <w:rPr>
          <w:rFonts w:ascii="Microsoft YaHei" w:hAnsi="Microsoft YaHei" w:eastAsia="Microsoft YaHei"/>
          <w:b/>
        </w:rPr>
        <w:t>同时调整 dense1 的隐藏层宽度</w:t>
      </w:r>
      <w:r>
        <w:rPr>
          <w:rFonts w:ascii="Microsoft YaHei" w:hAnsi="Microsoft YaHei" w:eastAsia="Microsoft YaHei"/>
        </w:rPr>
        <w:t>使总参数量接近：</w:t>
      </w:r>
    </w:p>
    <w:p>
      <w:pPr>
        <w:ind w:left="288"/>
      </w:pPr>
      <w:r>
        <w:rPr>
          <w:rFonts w:ascii="Consolas" w:hAnsi="Consolas" w:eastAsia="Consolas"/>
          <w:sz w:val="17"/>
        </w:rPr>
        <w:t>目标：Total params ≈ 4,844,793（对齐基线）</w:t>
        <w:br/>
        <w:br/>
        <w:t>去掉 conv4 后，dense1 输入为 34,656</w:t>
        <w:br/>
        <w:t>设 dense1 隐藏层宽度为 H，则：</w:t>
        <w:br/>
        <w:t xml:space="preserve">    固定项（conv1~3 + dense2 + dense3）= 54,201</w:t>
        <w:br/>
        <w:t xml:space="preserve">    dense1 参数 = 34,656 × H + H = 34,657 × H</w:t>
        <w:br/>
        <w:t xml:space="preserve">    令 54,201 + 34,657 × H = 4,844,793</w:t>
        <w:br/>
        <w:t xml:space="preserve">    → H = 4,790,592 / 34,657 ≈ 138.2  → 取 H = 138</w:t>
        <w:br/>
        <w:br/>
        <w:t>结果：Total params = 54,201 + 34,656×138 + 138 = 4,836,867</w:t>
        <w:br/>
        <w:t xml:space="preserve">      与基线 4,844,793 相差 7,926（0.16%）✅ 基本对齐</w:t>
      </w:r>
    </w:p>
    <w:p>
      <w:r>
        <w:rPr>
          <w:rFonts w:ascii="Microsoft YaHei" w:hAnsi="Microsoft YaHei" w:eastAsia="Microsoft YaHei"/>
          <w:b/>
        </w:rPr>
        <w:t>改动</w:t>
      </w:r>
      <w:r>
        <w:rPr>
          <w:rFonts w:ascii="Microsoft YaHei" w:hAnsi="Microsoft YaHei" w:eastAsia="Microsoft YaHei"/>
        </w:rPr>
        <w:t>：</w:t>
      </w:r>
    </w:p>
    <w:p>
      <w:pPr>
        <w:ind w:left="288"/>
      </w:pPr>
      <w:r>
        <w:rPr>
          <w:rFonts w:ascii="Consolas" w:hAnsi="Consolas" w:eastAsia="Consolas"/>
          <w:sz w:val="17"/>
        </w:rPr>
        <w:t>self.conv4 = nn.Identity()</w:t>
        <w:br/>
        <w:t>...</w:t>
        <w:br/>
        <w:t>self.dense1 = nn.Sequential(</w:t>
        <w:br/>
        <w:t xml:space="preserve">            nn.Linear(self.x2_shape, 138),      # ← 256 改为 138</w:t>
        <w:br/>
        <w:t xml:space="preserve">            nn.ReLU(inplace=True),</w:t>
        <w:br/>
        <w:t xml:space="preserve">            nn.Dropout(p=0.4))</w:t>
        <w:br/>
        <w:t>self.dense2 = nn.Sequential(</w:t>
        <w:br/>
        <w:t xml:space="preserve">            nn.Linear(138, 128),                # ← 256 改为 138</w:t>
        <w:br/>
        <w:t xml:space="preserve">            nn.ReLU(inplace=True),</w:t>
        <w:br/>
        <w:t xml:space="preserve">            nn.Dropout(p=0.4))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这属于进阶做法</w:t>
      </w:r>
      <w:r>
        <w:rPr>
          <w:rFonts w:ascii="Microsoft YaHei" w:hAnsi="Microsoft YaHei" w:eastAsia="Microsoft YaHei"/>
          <w:i/>
          <w:color w:val="4B5563"/>
        </w:rPr>
        <w:t>：它同时改变了隐藏层宽度，引入了第二个变化量。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是否采用，取决于你的报告定位</w:t>
      </w:r>
      <w:r>
        <w:rPr>
          <w:rFonts w:ascii="Microsoft YaHei" w:hAnsi="Microsoft YaHei" w:eastAsia="Microsoft YaHei"/>
          <w:i/>
          <w:color w:val="4B5563"/>
        </w:rPr>
        <w:t xml:space="preserve"> —— 若追求"严格归因"，用它；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若追求"最小改动、清晰可复现"，用基础版 A 并说明局限即可。</w:t>
      </w:r>
    </w:p>
    <w:p>
      <w:r>
        <w:rPr>
          <w:rFonts w:ascii="Microsoft YaHei" w:hAnsi="Microsoft YaHei" w:eastAsia="Microsoft YaHei"/>
        </w:rPr>
        <w:t>*配套文件：</w:t>
      </w:r>
      <w:r>
        <w:rPr>
          <w:rFonts w:ascii="Consolas" w:hAnsi="Consolas" w:eastAsia="Consolas"/>
        </w:rPr>
        <w:t>任务5_对比实验结果与分析.docx</w:t>
      </w:r>
      <w:r>
        <w:rPr>
          <w:rFonts w:ascii="Microsoft YaHei" w:hAnsi="Microsoft YaHei" w:eastAsia="Microsoft YaHei"/>
        </w:rPr>
        <w:t>（对比实验部分）、</w:t>
      </w:r>
      <w:r>
        <w:rPr>
          <w:rFonts w:ascii="Consolas" w:hAnsi="Consolas" w:eastAsia="Consolas"/>
        </w:rPr>
        <w:t>figures/09_train_ratio_trend.png</w:t>
      </w:r>
      <w:r>
        <w:rPr>
          <w:rFonts w:ascii="Microsoft YaHei" w:hAnsi="Microsoft YaHei" w:eastAsia="Microsoft YaHei"/>
        </w:rPr>
        <w:t>（趋势图）*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