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任务 5 · 消融实验（Ablation）结果与分析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实验对象</w:t>
      </w:r>
      <w:r>
        <w:rPr>
          <w:rFonts w:ascii="Microsoft YaHei" w:hAnsi="Microsoft YaHei" w:eastAsia="Microsoft YaHei"/>
          <w:i/>
          <w:color w:val="4B5563"/>
        </w:rPr>
        <w:t>：HybridSN 在 Pavia University 上的组件消融实验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实验配置</w:t>
      </w:r>
      <w:r>
        <w:rPr>
          <w:rFonts w:ascii="Microsoft YaHei" w:hAnsi="Microsoft YaHei" w:eastAsia="Microsoft YaHei"/>
          <w:i/>
          <w:color w:val="4B5563"/>
        </w:rPr>
        <w:t>：3 组（完整基线 / 移除 Dropout / 移除 2-D 卷积）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数据来源</w:t>
      </w:r>
      <w:r>
        <w:rPr>
          <w:rFonts w:ascii="Microsoft YaHei" w:hAnsi="Microsoft YaHei" w:eastAsia="Microsoft YaHei"/>
          <w:i/>
          <w:color w:val="4B5563"/>
        </w:rPr>
        <w:t xml:space="preserve">：各组 </w:t>
      </w:r>
      <w:r>
        <w:rPr>
          <w:rFonts w:ascii="Consolas" w:hAnsi="Consolas" w:eastAsia="Consolas"/>
          <w:i/>
          <w:color w:val="4B5563"/>
        </w:rPr>
        <w:t>results/PU_ablation_*/classfication_report.txt</w:t>
      </w:r>
      <w:r>
        <w:rPr>
          <w:rFonts w:ascii="Microsoft YaHei" w:hAnsi="Microsoft YaHei" w:eastAsia="Microsoft YaHei"/>
          <w:i/>
          <w:color w:val="4B5563"/>
        </w:rPr>
        <w:t xml:space="preserve"> 及训练曲线、CSV 实测数据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日期</w:t>
      </w:r>
      <w:r>
        <w:rPr>
          <w:rFonts w:ascii="Microsoft YaHei" w:hAnsi="Microsoft YaHei" w:eastAsia="Microsoft YaHei"/>
          <w:i/>
          <w:color w:val="4B5563"/>
        </w:rPr>
        <w:t>：2026-09</w:t>
      </w:r>
    </w:p>
    <w:p>
      <w:pPr>
        <w:pStyle w:val="Heading2"/>
      </w:pPr>
      <w:r>
        <w:rPr>
          <w:rFonts w:ascii="SimHei" w:hAnsi="SimHei" w:eastAsia="SimHei"/>
          <w:color w:val="1E3A5F"/>
        </w:rPr>
        <w:t>一、实验设计</w:t>
      </w:r>
    </w:p>
    <w:p>
      <w:pPr>
        <w:pStyle w:val="Heading3"/>
      </w:pPr>
      <w:r>
        <w:rPr>
          <w:rFonts w:ascii="SimHei" w:hAnsi="SimHei" w:eastAsia="SimHei"/>
          <w:color w:val="1E3A5F"/>
        </w:rPr>
        <w:t>1.1 为什么要做消融实验</w:t>
      </w:r>
    </w:p>
    <w:p>
      <w:r>
        <w:rPr>
          <w:rFonts w:ascii="Microsoft YaHei" w:hAnsi="Microsoft YaHei" w:eastAsia="Microsoft YaHei"/>
        </w:rPr>
        <w:t>论文的核心主张是：</w:t>
      </w:r>
      <w:r>
        <w:rPr>
          <w:rFonts w:ascii="Microsoft YaHei" w:hAnsi="Microsoft YaHei" w:eastAsia="Microsoft YaHei"/>
          <w:b/>
        </w:rPr>
        <w:t>"3-D 卷积（光谱–空间联合特征）与 2-D 卷积（抽象空间特征）互补，混合结构优于任一单一结构"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然而，</w:t>
      </w:r>
      <w:r>
        <w:rPr>
          <w:rFonts w:ascii="Microsoft YaHei" w:hAnsi="Microsoft YaHei" w:eastAsia="Microsoft YaHei"/>
          <w:b/>
        </w:rPr>
        <w:t>论文全文未提供任何组件消融证据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既没有移除 2-D 卷积的对照，也没有移除 PCA 的对照，更没有参数/FLOPs 对齐的实验。</w:t>
      </w:r>
    </w:p>
    <w:p>
      <w:r>
        <w:rPr>
          <w:rFonts w:ascii="Microsoft YaHei" w:hAnsi="Microsoft YaHei" w:eastAsia="Microsoft YaHei"/>
        </w:rPr>
        <w:t>因此"</w:t>
      </w:r>
      <w:r>
        <w:rPr>
          <w:rFonts w:ascii="Microsoft YaHei" w:hAnsi="Microsoft YaHei" w:eastAsia="Microsoft YaHei"/>
          <w:b/>
        </w:rPr>
        <w:t>混合结构本身是否带来增益</w:t>
      </w:r>
      <w:r>
        <w:rPr>
          <w:rFonts w:ascii="Microsoft YaHei" w:hAnsi="Microsoft YaHei" w:eastAsia="Microsoft YaHei"/>
        </w:rPr>
        <w:t>"这一问题，</w:t>
      </w:r>
      <w:r>
        <w:rPr>
          <w:rFonts w:ascii="Microsoft YaHei" w:hAnsi="Microsoft YaHei" w:eastAsia="Microsoft YaHei"/>
          <w:b/>
        </w:rPr>
        <w:t>在论文中始终未被严格验证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本实验正是为填补这一空白而设计。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1.2 三组配置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改动内容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 HybridSN（</w:t>
            </w:r>
            <w:r>
              <w:rPr>
                <w:rFonts w:ascii="Consolas" w:hAnsi="Consolas" w:eastAsia="Consolas"/>
                <w:sz w:val="18"/>
              </w:rPr>
              <w:t>Dropout p=0.4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 Dropout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nn.Dropout(p=0.4)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p=0.0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p=0</w:t>
            </w:r>
            <w:r>
              <w:rPr>
                <w:rFonts w:ascii="Microsoft YaHei" w:hAnsi="Microsoft YaHei" w:eastAsia="Microsoft YaHei"/>
                <w:sz w:val="18"/>
              </w:rPr>
              <w:t xml:space="preserve"> 时 Dropout 等价于恒等映射）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 2-D 卷积阶段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self.conv4 = nn.Sequential(Conv2d(96,64,3×3), ReLU)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nn.Identity()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1.3 控制变量（除被消融的组件外全部固定）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固定值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数据集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Pavia University（610×340×103，9 类）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随机种子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RANDOM_SEED = 666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划分种子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random_state = 100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sample_gt</w:t>
            </w:r>
            <w:r>
              <w:rPr>
                <w:rFonts w:ascii="Microsoft YaHei" w:hAnsi="Microsoft YaHei" w:eastAsia="Microsoft YaHei"/>
                <w:sz w:val="18"/>
              </w:rPr>
              <w:t xml:space="preserve"> 内部硬编码）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划分方式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stratify</w:t>
            </w:r>
            <w:r>
              <w:rPr>
                <w:rFonts w:ascii="Microsoft YaHei" w:hAnsi="Microsoft YaHei" w:eastAsia="Microsoft YaHei"/>
                <w:sz w:val="18"/>
              </w:rPr>
              <w:t xml:space="preserve"> 分层抽样；30% 训练 / 10% 验证 / 60% 测试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训练样本数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测试样本数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25,667（三组完全相同）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 主成分数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Patch 尺寸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Batch Size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Learning Rate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0.001（Adam，</w:t>
            </w:r>
            <w:r>
              <w:rPr>
                <w:rFonts w:ascii="Consolas" w:hAnsi="Consolas" w:eastAsia="Consolas"/>
                <w:sz w:val="18"/>
              </w:rPr>
              <w:t>weight_decay = 1e-6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损失函数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CrossEntropyLoss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✅ </w:t>
      </w:r>
      <w:r>
        <w:rPr>
          <w:rFonts w:ascii="Microsoft YaHei" w:hAnsi="Microsoft YaHei" w:eastAsia="Microsoft YaHei"/>
          <w:b/>
          <w:i/>
          <w:color w:val="4B5563"/>
        </w:rPr>
        <w:t>三组的测试集完全相同（均为 25,667 个样本）</w:t>
      </w:r>
      <w:r>
        <w:rPr>
          <w:rFonts w:ascii="Microsoft YaHei" w:hAnsi="Microsoft YaHei" w:eastAsia="Microsoft YaHei"/>
          <w:i/>
          <w:color w:val="4B5563"/>
        </w:rPr>
        <w:t>，因此精度对比是"同一张考卷"上的严格比较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这比训练比例实验（各组测试集规模不同）更干净。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二、结果总表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基线（完整）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 无 Dropout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 无 2-D 卷积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params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8,926,393（+84%）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mult-adds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39.09 M（−23%）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0.999494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0.999065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0.999377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0.999225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0.998496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0.998783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0.999329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0.998761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0.999174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错分像元数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0.0269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0.0569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0.0594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最佳模型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epoch_79</w:t>
            </w:r>
            <w:r>
              <w:rPr>
                <w:rFonts w:ascii="Microsoft YaHei" w:hAnsi="Microsoft YaHei" w:eastAsia="Microsoft YaHei"/>
                <w:sz w:val="18"/>
              </w:rPr>
              <w:t>（val 1.0000）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epoch_84</w:t>
            </w:r>
            <w:r>
              <w:rPr>
                <w:rFonts w:ascii="Microsoft YaHei" w:hAnsi="Microsoft YaHei" w:eastAsia="Microsoft YaHei"/>
                <w:sz w:val="18"/>
              </w:rPr>
              <w:t>（val 0.9995）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epoch_49</w:t>
            </w:r>
            <w:r>
              <w:rPr>
                <w:rFonts w:ascii="Microsoft YaHei" w:hAnsi="Microsoft YaHei" w:eastAsia="Microsoft YaHei"/>
                <w:sz w:val="18"/>
              </w:rPr>
              <w:t>（val 1.0000）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相对基线的变化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 无 Dropout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 无 2-D 卷积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ΔOA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−0.0429 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−0.0117 pp</w:t>
            </w:r>
            <w:r>
              <w:rPr>
                <w:rFonts w:ascii="Microsoft YaHei" w:hAnsi="Microsoft YaHei" w:eastAsia="Microsoft YaHei"/>
                <w:sz w:val="18"/>
              </w:rPr>
              <w:t>（仅多错 3 个像元）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ΔAA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−0.0729 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−0.0442 pp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ΔKappa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−0.0568 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−0.0155 pp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Δ错分像元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+3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 降幅 / OA 降幅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1.70 倍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3.78 倍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Δ(OA − AA)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+0.0300 pp（2.12×）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+0.0325 pp（2.21×）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三、逐类 Recall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 无 Dropout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 无 2-D 卷积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Trees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0.9935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0.9918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0.9935</w:t>
            </w:r>
            <w:r>
              <w:rPr>
                <w:rFonts w:ascii="Microsoft YaHei" w:hAnsi="Microsoft YaHei" w:eastAsia="Microsoft YaHei"/>
                <w:sz w:val="18"/>
              </w:rPr>
              <w:t>（与基线完全相同）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Self-Blocking Bricks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0.9964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0.9982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0.9965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错分像元的类别分解（个）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②相对基线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+2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其他 6 类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+3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共同规律</w:t>
      </w:r>
      <w:r>
        <w:rPr>
          <w:rFonts w:ascii="Microsoft YaHei" w:hAnsi="Microsoft YaHei" w:eastAsia="Microsoft YaHei"/>
          <w:i/>
          <w:color w:val="4B5563"/>
        </w:rPr>
        <w:t>：两组消融的退化都集中在</w:t>
      </w:r>
      <w:r>
        <w:rPr>
          <w:rFonts w:ascii="Microsoft YaHei" w:hAnsi="Microsoft YaHei" w:eastAsia="Microsoft YaHei"/>
          <w:b/>
          <w:i/>
          <w:color w:val="4B5563"/>
        </w:rPr>
        <w:t>最小类（Shadows）与易混类（Self-Blocking Bricks）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与训练比例实验中"少数类与易混类最先恶化"的观察一致。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四、训练过程对比（⭐ 本实验的意外收获）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4.1 三条曲线的表现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最大 loss 尖峰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出现轮次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验证精度轨迹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</w:t>
            </w:r>
            <w:r>
              <w:rPr>
                <w:rFonts w:ascii="Microsoft YaHei" w:hAnsi="Microsoft YaHei" w:eastAsia="Microsoft YaHei"/>
                <w:sz w:val="18"/>
              </w:rPr>
              <w:t>（p=0.4）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约 3~5 ×10⁻⁴（曲线目测）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~5、~41、~86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轻微波动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消融①</w:t>
            </w:r>
            <w:r>
              <w:rPr>
                <w:rFonts w:ascii="Microsoft YaHei" w:hAnsi="Microsoft YaHei" w:eastAsia="Microsoft YaHei"/>
                <w:sz w:val="18"/>
              </w:rPr>
              <w:t>（无 Dropout）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9.165 ×10⁻³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epoch 89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崩塌至 0.9507，且未完全恢复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消融②</w:t>
            </w:r>
            <w:r>
              <w:rPr>
                <w:rFonts w:ascii="Microsoft YaHei" w:hAnsi="Microsoft YaHei" w:eastAsia="Microsoft YaHei"/>
                <w:sz w:val="18"/>
              </w:rPr>
              <w:t>（无 2-D 卷积，p=0.4）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1.146 ×10⁻⁴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 86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正常波动（0.9974~1.0000）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4.2 ⭐ 核心发现：</w:t>
      </w:r>
      <w:r>
        <w:rPr>
          <w:rFonts w:ascii="SimHei" w:hAnsi="SimHei" w:eastAsia="SimHei"/>
          <w:b/>
          <w:color w:val="1E3A5F"/>
        </w:rPr>
        <w:t>Dropout 显著抑制了训练尖峰</w:t>
      </w:r>
    </w:p>
    <w:p>
      <w:pPr>
        <w:ind w:left="288"/>
      </w:pPr>
      <w:r>
        <w:rPr>
          <w:rFonts w:ascii="Consolas" w:hAnsi="Consolas" w:eastAsia="Consolas"/>
          <w:sz w:val="17"/>
        </w:rPr>
        <w:t>有 Dropout 的两次运行：尖峰量级 10⁻⁴ ～ 10⁻⁵      ← 平稳</w:t>
        <w:br/>
        <w:t>无 Dropout 的运行  ：尖峰量级 9.2 × 10⁻³          ← 放大约 20～80 倍</w:t>
      </w:r>
    </w:p>
    <w:p>
      <w:r>
        <w:rPr>
          <w:rFonts w:ascii="Microsoft YaHei" w:hAnsi="Microsoft YaHei" w:eastAsia="Microsoft YaHei"/>
          <w:b/>
        </w:rPr>
        <w:t>消融①（无 Dropout）在 epoch 89 的崩塌细节</w:t>
      </w:r>
      <w:r>
        <w:rPr>
          <w:rFonts w:ascii="Microsoft YaHei" w:hAnsi="Microsoft YaHei" w:eastAsia="Microsoft YaHei"/>
        </w:rPr>
        <w:t xml:space="preserve">（数据来自 </w:t>
      </w:r>
      <w:r>
        <w:rPr>
          <w:rFonts w:ascii="Consolas" w:hAnsi="Consolas" w:eastAsia="Consolas"/>
        </w:rPr>
        <w:t>loss.csv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train_acc.csv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val_acc.csv</w:t>
      </w:r>
      <w:r>
        <w:rPr>
          <w:rFonts w:ascii="Microsoft YaHei" w:hAnsi="Microsoft YaHei" w:eastAsia="Microsoft YaHei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崩前（epoch 85–88）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epoch 89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loss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~4.1 ×10⁻⁹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9.165 ×10⁻³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放大 224 万倍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loss（换算真实尺度）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~1.0 ×10⁻⁶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≈ 2.31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train_acc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1.0000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0.7788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−22.1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val_acc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0.99953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0.95066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−4.89 pp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关键</w:t>
      </w:r>
      <w:r>
        <w:rPr>
          <w:rFonts w:ascii="Microsoft YaHei" w:hAnsi="Microsoft YaHei" w:eastAsia="Microsoft YaHei"/>
          <w:i/>
          <w:color w:val="4B5563"/>
        </w:rPr>
        <w:t xml:space="preserve">：真实 loss ≈ </w:t>
      </w:r>
      <w:r>
        <w:rPr>
          <w:rFonts w:ascii="Microsoft YaHei" w:hAnsi="Microsoft YaHei" w:eastAsia="Microsoft YaHei"/>
          <w:b/>
          <w:i/>
          <w:color w:val="4B5563"/>
        </w:rPr>
        <w:t>2.31</w:t>
      </w:r>
      <w:r>
        <w:rPr>
          <w:rFonts w:ascii="Microsoft YaHei" w:hAnsi="Microsoft YaHei" w:eastAsia="Microsoft YaHei"/>
          <w:i/>
          <w:color w:val="4B5563"/>
        </w:rPr>
        <w:t xml:space="preserve">，几乎等于 </w:t>
      </w:r>
      <w:r>
        <w:rPr>
          <w:rFonts w:ascii="Consolas" w:hAnsi="Consolas" w:eastAsia="Consolas"/>
          <w:i/>
          <w:color w:val="4B5563"/>
        </w:rPr>
        <w:t>ln(9) = 2.197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即"模型完全不会、输出 9 类均匀概率"时的损失值。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说明在 epoch 89 那一刻，模型的有效判别能力几乎被完全摧毁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此后经过约 10 轮才部分恢复，且</w:t>
      </w:r>
      <w:r>
        <w:rPr>
          <w:rFonts w:ascii="Microsoft YaHei" w:hAnsi="Microsoft YaHei" w:eastAsia="Microsoft YaHei"/>
          <w:b/>
          <w:i/>
          <w:color w:val="4B5563"/>
        </w:rPr>
        <w:t>到第 99 轮仍未回到崩前水平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（loss 2.4×10⁻⁷ 仍比崩前的 4.1×10⁻⁹ 高约 60 倍；val_acc 0.99813 &lt; 崩前的 0.99953）。</w:t>
      </w:r>
    </w:p>
    <w:p>
      <w:r>
        <w:rPr>
          <w:rFonts w:ascii="Microsoft YaHei" w:hAnsi="Microsoft YaHei" w:eastAsia="Microsoft YaHei"/>
          <w:b/>
        </w:rPr>
        <w:t>三点观察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三个配置的尖峰都出现在训练后期（约第 86~89 轮）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提示触发因素可能来自</w:t>
            </w:r>
            <w:r>
              <w:rPr>
                <w:rFonts w:ascii="Microsoft YaHei" w:hAnsi="Microsoft YaHei" w:eastAsia="Microsoft YaHei"/>
                <w:b/>
                <w:sz w:val="18"/>
              </w:rPr>
              <w:t>数据或优化过程本身</w:t>
            </w:r>
            <w:r>
              <w:rPr>
                <w:rFonts w:ascii="Microsoft YaHei" w:hAnsi="Microsoft YaHei" w:eastAsia="Microsoft YaHei"/>
                <w:sz w:val="18"/>
              </w:rPr>
              <w:t>（如某个特定样本/批次），而非特定网络结构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有 Dropout 时尖峰被抑制约 1～2 个数量级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机制上合理：Dropout 的随机丢弃抑制了个别神经元的极端权重，降低"难样本产生巨大梯度"的风险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崩前 val_acc 已平台 75 轮</w:t>
            </w:r>
            <w:r>
              <w:rPr>
                <w:rFonts w:ascii="Microsoft YaHei" w:hAnsi="Microsoft YaHei" w:eastAsia="Microsoft YaHei"/>
                <w:sz w:val="18"/>
              </w:rPr>
              <w:t>（epoch 9–84 恒为 0.99953）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说明</w:t>
            </w:r>
            <w:r>
              <w:rPr>
                <w:rFonts w:ascii="Microsoft YaHei" w:hAnsi="Microsoft YaHei" w:eastAsia="Microsoft YaHei"/>
                <w:b/>
                <w:sz w:val="18"/>
              </w:rPr>
              <w:t>继续训练零收益，却额外引入了崩溃风险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归因局限</w:t>
      </w:r>
      <w:r>
        <w:rPr>
          <w:rFonts w:ascii="Microsoft YaHei" w:hAnsi="Microsoft YaHei" w:eastAsia="Microsoft YaHei"/>
          <w:i/>
          <w:color w:val="4B5563"/>
        </w:rPr>
        <w:t>：两次消融同时差别两个因素（Dropout 有/无 + 2-D 卷积有/无），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因此"Dropout 抑制尖峰"这一判断</w:t>
      </w:r>
      <w:r>
        <w:rPr>
          <w:rFonts w:ascii="Microsoft YaHei" w:hAnsi="Microsoft YaHei" w:eastAsia="Microsoft YaHei"/>
          <w:b/>
          <w:i/>
          <w:color w:val="4B5563"/>
        </w:rPr>
        <w:t>仍属提示性结论</w:t>
      </w:r>
      <w:r>
        <w:rPr>
          <w:rFonts w:ascii="Microsoft YaHei" w:hAnsi="Microsoft YaHei" w:eastAsia="Microsoft YaHei"/>
          <w:i/>
          <w:color w:val="4B5563"/>
        </w:rPr>
        <w:t>，严格验证需补跑"完整结构 + 有 Dropout"配置的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训练曲线 CSV（本次基线曲线来自早期运行的截图，未保存 CSV 数据）。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不过，</w:t>
      </w:r>
      <w:r>
        <w:rPr>
          <w:rFonts w:ascii="Microsoft YaHei" w:hAnsi="Microsoft YaHei" w:eastAsia="Microsoft YaHei"/>
          <w:b/>
          <w:i/>
          <w:color w:val="4B5563"/>
        </w:rPr>
        <w:t>基线曲线（有 Dropout，完整结构）同样只出现了 10⁻⁴ 量级的小尖峰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与消融②（有 Dropout）一致，因此该结论已具备相当强的证据支持。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4.3 另一发现：检查点机制避免了一次性能损失</w:t>
      </w:r>
    </w:p>
    <w:p>
      <w:r>
        <w:rPr>
          <w:rFonts w:ascii="Consolas" w:hAnsi="Consolas" w:eastAsia="Consolas"/>
        </w:rPr>
        <w:t>get_best_model()</w:t>
      </w:r>
      <w:r>
        <w:rPr>
          <w:rFonts w:ascii="Microsoft YaHei" w:hAnsi="Microsoft YaHei" w:eastAsia="Microsoft YaHei"/>
        </w:rPr>
        <w:t xml:space="preserve"> 选取验证精度</w:t>
      </w:r>
      <w:r>
        <w:rPr>
          <w:rFonts w:ascii="Microsoft YaHei" w:hAnsi="Microsoft YaHei" w:eastAsia="Microsoft YaHei"/>
          <w:b/>
        </w:rPr>
        <w:t>最高</w:t>
      </w:r>
      <w:r>
        <w:rPr>
          <w:rFonts w:ascii="Microsoft YaHei" w:hAnsi="Microsoft YaHei" w:eastAsia="Microsoft YaHei"/>
        </w:rPr>
        <w:t>的检查点（并列时取最后一个）：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消融①：epoch 9–84 共 16 个检查点 val_acc 恒为 0.99953 → 选中 </w:t>
      </w:r>
      <w:r>
        <w:rPr>
          <w:rFonts w:ascii="Microsoft YaHei" w:hAnsi="Microsoft YaHei" w:eastAsia="Microsoft YaHei"/>
          <w:b/>
        </w:rPr>
        <w:t>epoch 84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b/>
        </w:rPr>
        <w:t>崩溃之前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</w:rPr>
        <w:t>若无此机制、改用最后一轮（epoch 99）的模型，val_acc 仅 0.99813，测试精度必然更低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结论</w:t>
      </w:r>
      <w:r>
        <w:rPr>
          <w:rFonts w:ascii="Microsoft YaHei" w:hAnsi="Microsoft YaHei" w:eastAsia="Microsoft YaHei"/>
          <w:i/>
          <w:color w:val="4B5563"/>
        </w:rPr>
        <w:t>：原作者"每 5 轮保存 + 挑选验证最优"的设计，在本实验中</w:t>
      </w:r>
      <w:r>
        <w:rPr>
          <w:rFonts w:ascii="Microsoft YaHei" w:hAnsi="Microsoft YaHei" w:eastAsia="Microsoft YaHei"/>
          <w:b/>
          <w:i/>
          <w:color w:val="4B5563"/>
        </w:rPr>
        <w:t>实际规避了一次训练崩溃带来的性能损失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是一个值得强调的工程实践。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五、结果分析</w:t>
      </w:r>
    </w:p>
    <w:p>
      <w:pPr>
        <w:pStyle w:val="Heading3"/>
      </w:pPr>
      <w:r>
        <w:rPr>
          <w:rFonts w:ascii="SimHei" w:hAnsi="SimHei" w:eastAsia="SimHei"/>
          <w:color w:val="1E3A5F"/>
        </w:rPr>
        <w:t>5.1 结论一：Dropout 的作用</w:t>
      </w:r>
      <w:r>
        <w:rPr>
          <w:rFonts w:ascii="SimHei" w:hAnsi="SimHei" w:eastAsia="SimHei"/>
          <w:b/>
          <w:color w:val="1E3A5F"/>
        </w:rPr>
        <w:t>大于</w:t>
      </w:r>
      <w:r>
        <w:rPr>
          <w:rFonts w:ascii="SimHei" w:hAnsi="SimHei" w:eastAsia="SimHei"/>
          <w:color w:val="1E3A5F"/>
        </w:rPr>
        <w:t>移除 2-D 卷积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消融对象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ΔOA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ΔAA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Δ错分像元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移除 Dropout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−0.0429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−0.0729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+11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移除 2-D 卷积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−0.0117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−0.0442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+3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在同一测试集上，移除 Dropout 造成的精度损失约为移除 2-D 卷积的 3.7 倍（按 ΔOA）或 3.7 倍（按错分像元数）。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说明</w:t>
      </w:r>
      <w:r>
        <w:rPr>
          <w:rFonts w:ascii="Microsoft YaHei" w:hAnsi="Microsoft YaHei" w:eastAsia="Microsoft YaHei"/>
          <w:i/>
          <w:color w:val="4B5563"/>
        </w:rPr>
        <w:t>：在本实验协议下，</w:t>
      </w:r>
      <w:r>
        <w:rPr>
          <w:rFonts w:ascii="Microsoft YaHei" w:hAnsi="Microsoft YaHei" w:eastAsia="Microsoft YaHei"/>
          <w:b/>
          <w:i/>
          <w:color w:val="4B5563"/>
        </w:rPr>
        <w:t>正则化手段（Dropout）对最终性能的影响比 2-D 卷积阶段更显著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这可能与数据集高度可分有关 —— 当总体精度已达 99.9% 量级时，"防止过拟合"比"增加空间建模能力"更有价值。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5.2 结论二：2-D 卷积对</w:t>
      </w:r>
      <w:r>
        <w:rPr>
          <w:rFonts w:ascii="SimHei" w:hAnsi="SimHei" w:eastAsia="SimHei"/>
          <w:b/>
          <w:color w:val="1E3A5F"/>
        </w:rPr>
        <w:t>总体精度</w:t>
      </w:r>
      <w:r>
        <w:rPr>
          <w:rFonts w:ascii="SimHei" w:hAnsi="SimHei" w:eastAsia="SimHei"/>
          <w:color w:val="1E3A5F"/>
        </w:rPr>
        <w:t>贡献有限，但对</w:t>
      </w:r>
      <w:r>
        <w:rPr>
          <w:rFonts w:ascii="SimHei" w:hAnsi="SimHei" w:eastAsia="SimHei"/>
          <w:b/>
          <w:color w:val="1E3A5F"/>
        </w:rPr>
        <w:t>类别均衡</w:t>
      </w:r>
      <w:r>
        <w:rPr>
          <w:rFonts w:ascii="SimHei" w:hAnsi="SimHei" w:eastAsia="SimHei"/>
          <w:color w:val="1E3A5F"/>
        </w:rPr>
        <w:t>有明显作用</w:t>
      </w:r>
    </w:p>
    <w:p>
      <w:pPr>
        <w:ind w:left="288"/>
      </w:pPr>
      <w:r>
        <w:rPr>
          <w:rFonts w:ascii="Consolas" w:hAnsi="Consolas" w:eastAsia="Consolas"/>
          <w:sz w:val="17"/>
        </w:rPr>
        <w:t>移除 2-D 卷积后：</w:t>
        <w:br/>
        <w:t xml:space="preserve">    OA   仅降 0.0117 pp（3 个像元，处于单次运行波动边缘）</w:t>
        <w:br/>
        <w:t xml:space="preserve">    AA   降 0.0442 pp（降幅为 OA 的 3.78 倍）</w:t>
        <w:br/>
        <w:t xml:space="preserve">    OA−AA 差距由 0.0269 pp 扩大至 0.0594 pp（2.21 倍）</w:t>
      </w:r>
    </w:p>
    <w:p>
      <w:r>
        <w:rPr>
          <w:rFonts w:ascii="Microsoft YaHei" w:hAnsi="Microsoft YaHei" w:eastAsia="Microsoft YaHei"/>
          <w:b/>
        </w:rPr>
        <w:t>解读</w:t>
      </w:r>
      <w:r>
        <w:rPr>
          <w:rFonts w:ascii="Microsoft YaHei" w:hAnsi="Microsoft YaHei" w:eastAsia="Microsoft YaHei"/>
        </w:rPr>
        <w:t>：2-D 卷积阶段承担着</w:t>
      </w:r>
      <w:r>
        <w:rPr>
          <w:rFonts w:ascii="Microsoft YaHei" w:hAnsi="Microsoft YaHei" w:eastAsia="Microsoft YaHei"/>
          <w:b/>
        </w:rPr>
        <w:t>维持类别间均衡</w:t>
      </w:r>
      <w:r>
        <w:rPr>
          <w:rFonts w:ascii="Microsoft YaHei" w:hAnsi="Microsoft YaHei" w:eastAsia="Microsoft YaHei"/>
        </w:rPr>
        <w:t>的职责 ——</w:t>
      </w:r>
    </w:p>
    <w:p>
      <w:r>
        <w:rPr>
          <w:rFonts w:ascii="Microsoft YaHei" w:hAnsi="Microsoft YaHei" w:eastAsia="Microsoft YaHei"/>
        </w:rPr>
        <w:t>移除后模型更偏向多数类，最小类 Shadows（recall 1.0000 → 0.9965）与易混类 SBB 先退化。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5.3 结论三：⭐ 一个反直觉的结果 —— 参数量 +84% 却精度略降</w:t>
      </w:r>
    </w:p>
    <w:p>
      <w:pPr>
        <w:ind w:left="288"/>
      </w:pPr>
      <w:r>
        <w:rPr>
          <w:rFonts w:ascii="Consolas" w:hAnsi="Consolas" w:eastAsia="Consolas"/>
          <w:sz w:val="17"/>
        </w:rPr>
        <w:t>消融② vs 基线：</w:t>
        <w:br/>
        <w:t xml:space="preserve">    参数量   +84%（4.84M → 8.93M）</w:t>
        <w:br/>
        <w:t xml:space="preserve">    计算量   −23%（50.95M → 39.09M mult-adds）</w:t>
        <w:br/>
        <w:t xml:space="preserve">    OA       −0.0117 pp</w:t>
        <w:br/>
        <w:t xml:space="preserve">    AA       −0.0442 pp</w:t>
      </w:r>
    </w:p>
    <w:p>
      <w:r>
        <w:rPr>
          <w:rFonts w:ascii="Microsoft YaHei" w:hAnsi="Microsoft YaHei" w:eastAsia="Microsoft YaHei"/>
          <w:b/>
        </w:rPr>
        <w:t>这一结果是"支持论文主张"的证据</w:t>
      </w:r>
      <w:r>
        <w:rPr>
          <w:rFonts w:ascii="Microsoft YaHei" w:hAnsi="Microsoft YaHei" w:eastAsia="Microsoft YaHei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消融版的</w:t>
      </w:r>
      <w:r>
        <w:rPr>
          <w:rFonts w:ascii="Microsoft YaHei" w:hAnsi="Microsoft YaHei" w:eastAsia="Microsoft YaHei"/>
          <w:b/>
          <w:i/>
          <w:color w:val="4B5563"/>
        </w:rPr>
        <w:t>模型容量显著更大</w:t>
      </w:r>
      <w:r>
        <w:rPr>
          <w:rFonts w:ascii="Microsoft YaHei" w:hAnsi="Microsoft YaHei" w:eastAsia="Microsoft YaHei"/>
          <w:i/>
          <w:color w:val="4B5563"/>
        </w:rPr>
        <w:t>（多 4.08M 参数）。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若精度差异仅由"容量"决定，消融版应当表现更好或至少持平；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但它三项指标全面略差</w:t>
      </w:r>
      <w:r>
        <w:rPr>
          <w:rFonts w:ascii="Microsoft YaHei" w:hAnsi="Microsoft YaHei" w:eastAsia="Microsoft YaHei"/>
          <w:i/>
          <w:color w:val="4B5563"/>
        </w:rPr>
        <w:t xml:space="preserve">，说明 </w:t>
      </w:r>
      <w:r>
        <w:rPr>
          <w:rFonts w:ascii="Microsoft YaHei" w:hAnsi="Microsoft YaHei" w:eastAsia="Microsoft YaHei"/>
          <w:b/>
          <w:i/>
          <w:color w:val="4B5563"/>
        </w:rPr>
        <w:t>2-D 卷积阶段提供的"空间特征提取能力"，是单纯加宽全连接层无法替代的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r>
        <w:rPr>
          <w:rFonts w:ascii="Microsoft YaHei" w:hAnsi="Microsoft YaHei" w:eastAsia="Microsoft YaHei"/>
          <w:b/>
        </w:rPr>
        <w:t>同时对"效率"也有启示</w:t>
      </w:r>
      <w:r>
        <w:rPr>
          <w:rFonts w:ascii="Microsoft YaHei" w:hAnsi="Microsoft YaHei" w:eastAsia="Microsoft YaHei"/>
        </w:rPr>
        <w:t>：2-D 卷积阶段是一个"</w:t>
      </w:r>
      <w:r>
        <w:rPr>
          <w:rFonts w:ascii="Microsoft YaHei" w:hAnsi="Microsoft YaHei" w:eastAsia="Microsoft YaHei"/>
          <w:b/>
        </w:rPr>
        <w:t>参数少但计算密集</w:t>
      </w:r>
      <w:r>
        <w:rPr>
          <w:rFonts w:ascii="Microsoft YaHei" w:hAnsi="Microsoft YaHei" w:eastAsia="Microsoft YaHei"/>
        </w:rPr>
        <w:t>"的模块 ——</w:t>
      </w:r>
    </w:p>
    <w:p>
      <w:r>
        <w:rPr>
          <w:rFonts w:ascii="Microsoft YaHei" w:hAnsi="Microsoft YaHei" w:eastAsia="Microsoft YaHei"/>
        </w:rPr>
        <w:t>移除它省下 23% 的计算量，却要付出 84% 的参数增长。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但必须说明局限</w:t>
      </w:r>
      <w:r>
        <w:rPr>
          <w:rFonts w:ascii="Microsoft YaHei" w:hAnsi="Microsoft YaHei" w:eastAsia="Microsoft YaHei"/>
          <w:i/>
          <w:color w:val="4B5563"/>
        </w:rPr>
        <w:t>：参数量不对等（+84%），因此"精度下降"不能纯归因于结构，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严格验证应在</w:t>
      </w:r>
      <w:r>
        <w:rPr>
          <w:rFonts w:ascii="Microsoft YaHei" w:hAnsi="Microsoft YaHei" w:eastAsia="Microsoft YaHei"/>
          <w:b/>
          <w:i/>
          <w:color w:val="4B5563"/>
        </w:rPr>
        <w:t>参数量/FLOPs 对齐</w:t>
      </w:r>
      <w:r>
        <w:rPr>
          <w:rFonts w:ascii="Microsoft YaHei" w:hAnsi="Microsoft YaHei" w:eastAsia="Microsoft YaHei"/>
          <w:i/>
          <w:color w:val="4B5563"/>
        </w:rPr>
        <w:t xml:space="preserve">的条件下进行（例如将 </w:t>
      </w:r>
      <w:r>
        <w:rPr>
          <w:rFonts w:ascii="Consolas" w:hAnsi="Consolas" w:eastAsia="Consolas"/>
          <w:i/>
          <w:color w:val="4B5563"/>
        </w:rPr>
        <w:t>dense1</w:t>
      </w:r>
      <w:r>
        <w:rPr>
          <w:rFonts w:ascii="Microsoft YaHei" w:hAnsi="Microsoft YaHei" w:eastAsia="Microsoft YaHei"/>
          <w:i/>
          <w:color w:val="4B5563"/>
        </w:rPr>
        <w:t xml:space="preserve"> 隐藏层宽度相应调小）。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5.4 结论四：两组消融都呈现"</w:t>
      </w:r>
      <w:r>
        <w:rPr>
          <w:rFonts w:ascii="SimHei" w:hAnsi="SimHei" w:eastAsia="SimHei"/>
          <w:b/>
          <w:color w:val="1E3A5F"/>
        </w:rPr>
        <w:t>AA 降幅 &gt; OA 降幅</w:t>
      </w:r>
      <w:r>
        <w:rPr>
          <w:rFonts w:ascii="SimHei" w:hAnsi="SimHei" w:eastAsia="SimHei"/>
          <w:color w:val="1E3A5F"/>
        </w:rPr>
        <w:t>"的模式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降幅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 降幅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比值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① 移除 Dropout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0.0429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0.0729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1.70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② 移除 2-D 卷积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0.0117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0.0442 pp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3.78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共同机制</w:t>
      </w:r>
      <w:r>
        <w:rPr>
          <w:rFonts w:ascii="Microsoft YaHei" w:hAnsi="Microsoft YaHei" w:eastAsia="Microsoft YaHei"/>
        </w:rPr>
        <w:t>：</w:t>
      </w:r>
    </w:p>
    <w:p>
      <w:pPr>
        <w:ind w:left="288"/>
      </w:pPr>
      <w:r>
        <w:rPr>
          <w:rFonts w:ascii="Consolas" w:hAnsi="Consolas" w:eastAsia="Consolas"/>
          <w:sz w:val="17"/>
        </w:rPr>
        <w:t>移除任一组件</w:t>
        <w:br/>
        <w:t xml:space="preserve">    ↓</w:t>
        <w:br/>
        <w:t>模型对多数类的偏向增强（正则化减弱 / 空间建模能力下降）</w:t>
        <w:br/>
        <w:t xml:space="preserve">    ↓</w:t>
        <w:br/>
        <w:t>少数类（Shadows）与易混类（SBB）先退化</w:t>
        <w:br/>
        <w:t xml:space="preserve">    ↓</w:t>
        <w:br/>
        <w:t>AA（类别等权）对这些退化敏感 → 降幅大于 OA（样本数加权）</w:t>
      </w:r>
    </w:p>
    <w:p>
      <w:r>
        <w:rPr>
          <w:rFonts w:ascii="Microsoft YaHei" w:hAnsi="Microsoft YaHei" w:eastAsia="Microsoft YaHei"/>
          <w:b/>
        </w:rPr>
        <w:t>这与训练比例实验中观察到的现象完全一致</w:t>
      </w:r>
      <w:r>
        <w:rPr>
          <w:rFonts w:ascii="Microsoft YaHei" w:hAnsi="Microsoft YaHei" w:eastAsia="Microsoft YaHei"/>
        </w:rPr>
        <w:t>（训练样本减少时，OA−AA 差距单调扩大 21 倍），</w:t>
      </w:r>
    </w:p>
    <w:p>
      <w:r>
        <w:rPr>
          <w:rFonts w:ascii="Microsoft YaHei" w:hAnsi="Microsoft YaHei" w:eastAsia="Microsoft YaHei"/>
        </w:rPr>
        <w:t>说明</w:t>
      </w:r>
      <w:r>
        <w:rPr>
          <w:rFonts w:ascii="Microsoft YaHei" w:hAnsi="Microsoft YaHei" w:eastAsia="Microsoft YaHei"/>
          <w:b/>
        </w:rPr>
        <w:t>"AA 比 OA 更能暴露少数类的失效"是稳健规律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5.5 与论文主张的对话（本实验的核心价值）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本次实验结论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对论文主张的意义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总体精度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 2-D 卷积仅损失 0.0117 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⚠️ 论文"混合优于单一"的主张，在</w:t>
            </w:r>
            <w:r>
              <w:rPr>
                <w:rFonts w:ascii="Microsoft YaHei" w:hAnsi="Microsoft YaHei" w:eastAsia="Microsoft YaHei"/>
                <w:b/>
                <w:sz w:val="18"/>
              </w:rPr>
              <w:t>总体精度</w:t>
            </w:r>
            <w:r>
              <w:rPr>
                <w:rFonts w:ascii="Microsoft YaHei" w:hAnsi="Microsoft YaHei" w:eastAsia="Microsoft YaHei"/>
                <w:sz w:val="18"/>
              </w:rPr>
              <w:t>上</w:t>
            </w:r>
            <w:r>
              <w:rPr>
                <w:rFonts w:ascii="Microsoft YaHei" w:hAnsi="Microsoft YaHei" w:eastAsia="Microsoft YaHei"/>
                <w:b/>
                <w:sz w:val="18"/>
              </w:rPr>
              <w:t>仅得到部分支持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类别均衡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移除后 AA 降 0.0442 pp，OA−AA 扩大 2.21 倍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2-D 卷积的贡献体现在</w:t>
            </w:r>
            <w:r>
              <w:rPr>
                <w:rFonts w:ascii="Microsoft YaHei" w:hAnsi="Microsoft YaHei" w:eastAsia="Microsoft YaHei"/>
                <w:b/>
                <w:sz w:val="18"/>
              </w:rPr>
              <w:t>少数类召回</w:t>
            </w:r>
            <w:r>
              <w:rPr>
                <w:rFonts w:ascii="Microsoft YaHei" w:hAnsi="Microsoft YaHei" w:eastAsia="Microsoft YaHei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sz w:val="18"/>
              </w:rPr>
              <w:t>类别均衡</w:t>
            </w:r>
            <w:r>
              <w:rPr>
                <w:rFonts w:ascii="Microsoft YaHei" w:hAnsi="Microsoft YaHei" w:eastAsia="Microsoft YaHei"/>
                <w:sz w:val="18"/>
              </w:rPr>
              <w:t>上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参数效率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移除后参数 +84%、FLOPs −23%，精度仍略降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说明 2-D 卷积的</w:t>
            </w:r>
            <w:r>
              <w:rPr>
                <w:rFonts w:ascii="Microsoft YaHei" w:hAnsi="Microsoft YaHei" w:eastAsia="Microsoft YaHei"/>
                <w:b/>
                <w:sz w:val="18"/>
              </w:rPr>
              <w:t>空间建模能力不可由全连接层容量替代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证据强度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参数量不对等、单次运行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❌ 论文缺失的组件级证据</w:t>
            </w:r>
            <w:r>
              <w:rPr>
                <w:rFonts w:ascii="Microsoft YaHei" w:hAnsi="Microsoft YaHei" w:eastAsia="Microsoft YaHei"/>
                <w:b/>
                <w:sz w:val="18"/>
              </w:rPr>
              <w:t>仍未完全补足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建议的结论表述</w:t>
      </w:r>
      <w:r>
        <w:rPr>
          <w:rFonts w:ascii="Microsoft YaHei" w:hAnsi="Microsoft YaHei" w:eastAsia="Microsoft YaHei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在 Pavia University、30% 训练样本的协议下，移除 2-D 卷积阶段后：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① </w:t>
      </w:r>
      <w:r>
        <w:rPr>
          <w:rFonts w:ascii="Microsoft YaHei" w:hAnsi="Microsoft YaHei" w:eastAsia="Microsoft YaHei"/>
          <w:b/>
          <w:i/>
          <w:color w:val="4B5563"/>
        </w:rPr>
        <w:t>总体精度几乎不变</w:t>
      </w:r>
      <w:r>
        <w:rPr>
          <w:rFonts w:ascii="Microsoft YaHei" w:hAnsi="Microsoft YaHei" w:eastAsia="Microsoft YaHei"/>
          <w:i/>
          <w:color w:val="4B5563"/>
        </w:rPr>
        <w:t>（OA 由 0.99949 降至 0.99938，仅相差 3 个测试像元，处于单次运行波动边缘）；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② </w:t>
      </w:r>
      <w:r>
        <w:rPr>
          <w:rFonts w:ascii="Microsoft YaHei" w:hAnsi="Microsoft YaHei" w:eastAsia="Microsoft YaHei"/>
          <w:b/>
          <w:i/>
          <w:color w:val="4B5563"/>
        </w:rPr>
        <w:t>类别均衡性明显下降</w:t>
      </w:r>
      <w:r>
        <w:rPr>
          <w:rFonts w:ascii="Microsoft YaHei" w:hAnsi="Microsoft YaHei" w:eastAsia="Microsoft YaHei"/>
          <w:i/>
          <w:color w:val="4B5563"/>
        </w:rPr>
        <w:t>（AA 降 0.0442 pp，降幅为 OA 的 3.78 倍；</w:t>
      </w:r>
      <w:r>
        <w:rPr>
          <w:rFonts w:ascii="Consolas" w:hAnsi="Consolas" w:eastAsia="Consolas"/>
          <w:i/>
          <w:color w:val="4B5563"/>
        </w:rPr>
        <w:t>OA−AA</w:t>
      </w:r>
      <w:r>
        <w:rPr>
          <w:rFonts w:ascii="Microsoft YaHei" w:hAnsi="Microsoft YaHei" w:eastAsia="Microsoft YaHei"/>
          <w:i/>
          <w:color w:val="4B5563"/>
        </w:rPr>
        <w:t xml:space="preserve"> 由 0.0269 pp 扩大至 0.0594 pp），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退化集中在最小类 Shadows 与易混类 Self-Blocking Bricks；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③ 消融版</w:t>
      </w:r>
      <w:r>
        <w:rPr>
          <w:rFonts w:ascii="Microsoft YaHei" w:hAnsi="Microsoft YaHei" w:eastAsia="Microsoft YaHei"/>
          <w:b/>
          <w:i/>
          <w:color w:val="4B5563"/>
        </w:rPr>
        <w:t>参数量反而增加 84%</w:t>
      </w:r>
      <w:r>
        <w:rPr>
          <w:rFonts w:ascii="Microsoft YaHei" w:hAnsi="Microsoft YaHei" w:eastAsia="Microsoft YaHei"/>
          <w:i/>
          <w:color w:val="4B5563"/>
        </w:rPr>
        <w:t>、计算量下降 23%，说明 2-D 卷积是"参数高效但计算密集"的模块。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综合判断</w:t>
      </w:r>
      <w:r>
        <w:rPr>
          <w:rFonts w:ascii="Microsoft YaHei" w:hAnsi="Microsoft YaHei" w:eastAsia="Microsoft YaHei"/>
          <w:i/>
          <w:color w:val="4B5563"/>
        </w:rPr>
        <w:t>：论文"混合结构优于单一结构"的主张在本实验协议下</w:t>
      </w:r>
      <w:r>
        <w:rPr>
          <w:rFonts w:ascii="Microsoft YaHei" w:hAnsi="Microsoft YaHei" w:eastAsia="Microsoft YaHei"/>
          <w:b/>
          <w:i/>
          <w:color w:val="4B5563"/>
        </w:rPr>
        <w:t>仅得到部分支持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2-D 卷积阶段对</w:t>
      </w:r>
      <w:r>
        <w:rPr>
          <w:rFonts w:ascii="Microsoft YaHei" w:hAnsi="Microsoft YaHei" w:eastAsia="Microsoft YaHei"/>
          <w:b/>
          <w:i/>
          <w:color w:val="4B5563"/>
        </w:rPr>
        <w:t>总体精度</w:t>
      </w:r>
      <w:r>
        <w:rPr>
          <w:rFonts w:ascii="Microsoft YaHei" w:hAnsi="Microsoft YaHei" w:eastAsia="Microsoft YaHei"/>
          <w:i/>
          <w:color w:val="4B5563"/>
        </w:rPr>
        <w:t>的边际贡献有限，其主要作用体现在</w:t>
      </w:r>
      <w:r>
        <w:rPr>
          <w:rFonts w:ascii="Microsoft YaHei" w:hAnsi="Microsoft YaHei" w:eastAsia="Microsoft YaHei"/>
          <w:b/>
          <w:i/>
          <w:color w:val="4B5563"/>
        </w:rPr>
        <w:t>抑制对多数类的偏向、维持少数类的召回率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由于论文未提供组件消融与参数量对齐的对照，</w:t>
      </w:r>
      <w:r>
        <w:rPr>
          <w:rFonts w:ascii="Microsoft YaHei" w:hAnsi="Microsoft YaHei" w:eastAsia="Microsoft YaHei"/>
          <w:b/>
          <w:i/>
          <w:color w:val="4B5563"/>
        </w:rPr>
        <w:t>"3-D 与 2-D 互补"这一论断仍缺少直接的组件级证据</w:t>
      </w:r>
      <w:r>
        <w:rPr>
          <w:rFonts w:ascii="Microsoft YaHei" w:hAnsi="Microsoft YaHei" w:eastAsia="Microsoft YaHei"/>
          <w:i/>
          <w:color w:val="4B5563"/>
        </w:rPr>
        <w:t>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后续研究应在</w:t>
      </w:r>
      <w:r>
        <w:rPr>
          <w:rFonts w:ascii="Microsoft YaHei" w:hAnsi="Microsoft YaHei" w:eastAsia="Microsoft YaHei"/>
          <w:b/>
          <w:i/>
          <w:color w:val="4B5563"/>
        </w:rPr>
        <w:t>参数量与 FLOPs 对齐</w:t>
      </w:r>
      <w:r>
        <w:rPr>
          <w:rFonts w:ascii="Microsoft YaHei" w:hAnsi="Microsoft YaHei" w:eastAsia="Microsoft YaHei"/>
          <w:i/>
          <w:color w:val="4B5563"/>
        </w:rPr>
        <w:t>的条件下重新检验该主张。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5.6 工程启示：</w:t>
      </w:r>
      <w:r>
        <w:rPr>
          <w:rFonts w:ascii="SimHei" w:hAnsi="SimHei" w:eastAsia="SimHei"/>
          <w:b/>
          <w:color w:val="1E3A5F"/>
        </w:rPr>
        <w:t>早停（Early Stopping）</w:t>
      </w:r>
    </w:p>
    <w:p>
      <w:r>
        <w:rPr>
          <w:rFonts w:ascii="Microsoft YaHei" w:hAnsi="Microsoft YaHei" w:eastAsia="Microsoft YaHei"/>
        </w:rPr>
        <w:t>本实验揭示了一个容易被忽视的问题：</w:t>
      </w:r>
    </w:p>
    <w:p>
      <w:pPr>
        <w:ind w:left="288"/>
      </w:pPr>
      <w:r>
        <w:rPr>
          <w:rFonts w:ascii="Consolas" w:hAnsi="Consolas" w:eastAsia="Consolas"/>
          <w:sz w:val="17"/>
        </w:rPr>
        <w:t>消融① : val_acc 自 epoch 9 起平台 75 轮  →  第 89 轮崩溃</w:t>
        <w:br/>
        <w:t>消融② : 最佳模型出现在 epoch 49</w:t>
        <w:br/>
        <w:t>基线   : 最佳模型出现在 epoch 79</w:t>
      </w:r>
    </w:p>
    <w:p>
      <w:r>
        <w:rPr>
          <w:rFonts w:ascii="Microsoft YaHei" w:hAnsi="Microsoft YaHei" w:eastAsia="Microsoft YaHei"/>
          <w:b/>
        </w:rPr>
        <w:t>在数据高度可分（loss → 10⁻⁶）的饱和阶段继续训练，不仅"零收益"，还额外引入"训练崩溃"风险。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实践建议</w:t>
      </w:r>
      <w:r>
        <w:rPr>
          <w:rFonts w:ascii="Microsoft YaHei" w:hAnsi="Microsoft YaHei" w:eastAsia="Microsoft YaHei"/>
          <w:i/>
          <w:color w:val="4B5563"/>
        </w:rPr>
        <w:t>：此类任务应引入</w:t>
      </w:r>
      <w:r>
        <w:rPr>
          <w:rFonts w:ascii="Microsoft YaHei" w:hAnsi="Microsoft YaHei" w:eastAsia="Microsoft YaHei"/>
          <w:b/>
          <w:i/>
          <w:color w:val="4B5563"/>
        </w:rPr>
        <w:t>早停策略</w:t>
      </w:r>
      <w:r>
        <w:rPr>
          <w:rFonts w:ascii="Microsoft YaHei" w:hAnsi="Microsoft YaHei" w:eastAsia="Microsoft YaHei"/>
          <w:i/>
          <w:color w:val="4B5563"/>
        </w:rPr>
        <w:t>（如验证精度连续 N 轮不提升即停止），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而非固定训练 100 epoch。这既节省 50% 以上的训练时间，也降低了训练不稳定的风险。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六、实验局限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局限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改进方向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参数量不对等</w:t>
            </w:r>
            <w:r>
              <w:rPr>
                <w:rFonts w:ascii="Microsoft YaHei" w:hAnsi="Microsoft YaHei" w:eastAsia="Microsoft YaHei"/>
                <w:sz w:val="18"/>
              </w:rPr>
              <w:t>（消融② +84%）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精度差异无法纯归因于结构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对齐参数量/FLOPs 后重测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单次运行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个像元的差异处于波动边缘，未做显著性检验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每组重复 3–5 次，报告均值±标准差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基线训练曲线未保存 CSV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"Dropout 抑制尖峰"的量化仅能依赖消融组的精确数据与基线曲线的目测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补跑基线并保存 CSV（曲线已具备时可仅补数据）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消融粒度较粗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移除整个 2-D 阶段，未区分"空间邻域卷积"与"额外非线性变换"的贡献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增加"3×3 → 1×1"的对照实验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仅单一数据集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结论能否迁移至 IP、SA 未知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 IP、SA 上重复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Dropout 概率未做扫描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仅对比了 p=0.4 与 p=0 两个端点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增加 p=0.2 / 0.6 的对照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七、结论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移除 Dropout 使 OA 下降 0.0429 pp、错分像元由 13 增至 24</w:t>
      </w:r>
      <w:r>
        <w:rPr>
          <w:rFonts w:ascii="Microsoft YaHei" w:hAnsi="Microsoft YaHei" w:eastAsia="Microsoft YaHei"/>
        </w:rPr>
        <w:t xml:space="preserve">，说明 </w:t>
      </w:r>
      <w:r>
        <w:rPr>
          <w:rFonts w:ascii="Consolas" w:hAnsi="Consolas" w:eastAsia="Consolas"/>
        </w:rPr>
        <w:t>p=0.4</w:t>
      </w:r>
      <w:r>
        <w:rPr>
          <w:rFonts w:ascii="Microsoft YaHei" w:hAnsi="Microsoft YaHei" w:eastAsia="Microsoft YaHei"/>
        </w:rPr>
        <w:t xml:space="preserve"> 的 Dropout 在本模型中是</w:t>
      </w:r>
      <w:r>
        <w:rPr>
          <w:rFonts w:ascii="Microsoft YaHei" w:hAnsi="Microsoft YaHei" w:eastAsia="Microsoft YaHei"/>
          <w:b/>
        </w:rPr>
        <w:t>有效的正则化手段</w:t>
      </w:r>
      <w:r>
        <w:rPr>
          <w:rFonts w:ascii="Microsoft YaHei" w:hAnsi="Microsoft YaHei" w:eastAsia="Microsoft YaHei"/>
        </w:rPr>
        <w:t xml:space="preserve"> —— 这补上了论文未报告也未验证的一项超参数证据。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移除整个 2-D 卷积阶段仅使 OA 下降 0.0117 pp（3 个像元）</w:t>
      </w:r>
      <w:r>
        <w:rPr>
          <w:rFonts w:ascii="Microsoft YaHei" w:hAnsi="Microsoft YaHei" w:eastAsia="Microsoft YaHei"/>
        </w:rPr>
        <w:t>，但对</w:t>
      </w:r>
      <w:r>
        <w:rPr>
          <w:rFonts w:ascii="Microsoft YaHei" w:hAnsi="Microsoft YaHei" w:eastAsia="Microsoft YaHei"/>
          <w:b/>
        </w:rPr>
        <w:t>类别均衡</w:t>
      </w:r>
      <w:r>
        <w:rPr>
          <w:rFonts w:ascii="Microsoft YaHei" w:hAnsi="Microsoft YaHei" w:eastAsia="Microsoft YaHei"/>
        </w:rPr>
        <w:t>影响明显（AA 降 0.0442 pp，</w:t>
      </w:r>
      <w:r>
        <w:rPr>
          <w:rFonts w:ascii="Consolas" w:hAnsi="Consolas" w:eastAsia="Consolas"/>
        </w:rPr>
        <w:t>OA−AA</w:t>
      </w:r>
      <w:r>
        <w:rPr>
          <w:rFonts w:ascii="Microsoft YaHei" w:hAnsi="Microsoft YaHei" w:eastAsia="Microsoft YaHei"/>
        </w:rPr>
        <w:t xml:space="preserve"> 扩大 2.21 倍，退化集中在 Shadows 与 SBB）——</w:t>
      </w:r>
    </w:p>
    <w:p>
      <w:r>
        <w:rPr>
          <w:rFonts w:ascii="Microsoft YaHei" w:hAnsi="Microsoft YaHei" w:eastAsia="Microsoft YaHei"/>
        </w:rPr>
        <w:t>说明论文"混合结构优于单一结构"的主张</w:t>
      </w:r>
      <w:r>
        <w:rPr>
          <w:rFonts w:ascii="Microsoft YaHei" w:hAnsi="Microsoft YaHei" w:eastAsia="Microsoft YaHei"/>
          <w:b/>
        </w:rPr>
        <w:t>在总体精度上仅得到部分支持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消融版参数量增加 84%、计算量下降 23%，精度却略降</w:t>
      </w:r>
      <w:r>
        <w:rPr>
          <w:rFonts w:ascii="Microsoft YaHei" w:hAnsi="Microsoft YaHei" w:eastAsia="Microsoft YaHei"/>
        </w:rPr>
        <w:t xml:space="preserve"> ——</w:t>
      </w:r>
    </w:p>
    <w:p>
      <w:r>
        <w:rPr>
          <w:rFonts w:ascii="Microsoft YaHei" w:hAnsi="Microsoft YaHei" w:eastAsia="Microsoft YaHei"/>
        </w:rPr>
        <w:t>说明 2-D 卷积阶段的</w:t>
      </w:r>
      <w:r>
        <w:rPr>
          <w:rFonts w:ascii="Microsoft YaHei" w:hAnsi="Microsoft YaHei" w:eastAsia="Microsoft YaHei"/>
          <w:b/>
        </w:rPr>
        <w:t>空间特征提取能力不可由全连接层容量替代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⭐ Dropout 显著抑制训练尖峰</w:t>
      </w:r>
      <w:r>
        <w:rPr>
          <w:rFonts w:ascii="Microsoft YaHei" w:hAnsi="Microsoft YaHei" w:eastAsia="Microsoft YaHei"/>
        </w:rPr>
        <w:t xml:space="preserve">：无 Dropout 时在 epoch 89 出现 loss 放大 224 万倍、数值接近 </w:t>
      </w:r>
      <w:r>
        <w:rPr>
          <w:rFonts w:ascii="Consolas" w:hAnsi="Consolas" w:eastAsia="Consolas"/>
        </w:rPr>
        <w:t>ln(9)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灾难性崩塌</w:t>
      </w:r>
      <w:r>
        <w:rPr>
          <w:rFonts w:ascii="Microsoft YaHei" w:hAnsi="Microsoft YaHei" w:eastAsia="Microsoft YaHei"/>
        </w:rPr>
        <w:t>（模型退化为均匀猜测且未完全恢复）；</w:t>
      </w:r>
    </w:p>
    <w:p>
      <w:r>
        <w:rPr>
          <w:rFonts w:ascii="Microsoft YaHei" w:hAnsi="Microsoft YaHei" w:eastAsia="Microsoft YaHei"/>
        </w:rPr>
        <w:t>有 Dropout 的两次运行尖峰仅 10⁻⁴～10⁻⁵ 量级，相差约 1～2 个数量级。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检查点机制（每 5 轮保存 + 选验证最优）实际规避了崩溃带来的性能损失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且实验显示模型在 epoch 9–49 就已达到最佳，</w:t>
      </w:r>
      <w:r>
        <w:rPr>
          <w:rFonts w:ascii="Microsoft YaHei" w:hAnsi="Microsoft YaHei" w:eastAsia="Microsoft YaHei"/>
          <w:b/>
        </w:rPr>
        <w:t>建议引入早停策略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两组消融均呈现"AA 降幅 &gt; OA 降幅"</w:t>
      </w:r>
      <w:r>
        <w:rPr>
          <w:rFonts w:ascii="Microsoft YaHei" w:hAnsi="Microsoft YaHei" w:eastAsia="Microsoft YaHei"/>
        </w:rPr>
        <w:t>（1.70 倍与 3.78 倍），</w:t>
      </w:r>
    </w:p>
    <w:p>
      <w:r>
        <w:rPr>
          <w:rFonts w:ascii="Microsoft YaHei" w:hAnsi="Microsoft YaHei" w:eastAsia="Microsoft YaHei"/>
        </w:rPr>
        <w:t>与训练比例实验中"OA−AA 差距随训练样本减少而扩大 21 倍"的规律一致 ——</w:t>
      </w:r>
    </w:p>
    <w:p>
      <w:r>
        <w:rPr>
          <w:rFonts w:ascii="Microsoft YaHei" w:hAnsi="Microsoft YaHei" w:eastAsia="Microsoft YaHei"/>
          <w:b/>
        </w:rPr>
        <w:t>"AA 比 OA 更能暴露少数类失效"是稳健结论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附：数据文件清单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results/PU_tr30/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基线（完整 HybridSN，30% 训练）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results/PU_ablation_nodropout/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消融①（移除 Dropout）+ 曲线 + CSV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results/PU_ablation_no2dconv/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消融②（移除 2-D 卷积）+ 曲线 + CSV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`results/PU(PU_tr05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tr10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任务5_对比实验结果与分析.docx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训练比例对比实验的结果与分析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figures/09_train_ratio_trend.png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训练比例趋势图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附录 A　补充实验：邻域对照实验（有效邻域 11×11 置零）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本实验是本项目在组件消融之外</w:t>
      </w:r>
      <w:r>
        <w:rPr>
          <w:rFonts w:ascii="Microsoft YaHei" w:hAnsi="Microsoft YaHei" w:eastAsia="Microsoft YaHei"/>
          <w:b/>
          <w:i/>
          <w:color w:val="4B5563"/>
        </w:rPr>
        <w:t>自行设计的对照实验</w:t>
      </w:r>
      <w:r>
        <w:rPr>
          <w:rFonts w:ascii="Microsoft YaHei" w:hAnsi="Microsoft YaHei" w:eastAsia="Microsoft YaHei"/>
          <w:i/>
          <w:color w:val="4B5563"/>
        </w:rPr>
        <w:t>，用于验证「边界像元的邻域污染」这一假说。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完整分析见「实验报告.docx」第八节与仓库 README.md 第 8.4 节。</w:t>
      </w:r>
      <w:r>
        <w:rPr>
          <w:rFonts w:ascii="Consolas" w:hAnsi="Consolas" w:eastAsia="Consolas"/>
          <w:i/>
          <w:color w:val="4B5563"/>
        </w:rPr>
      </w:r>
      <w:r>
        <w:rPr>
          <w:rFonts w:ascii="Microsoft YaHei" w:hAnsi="Microsoft YaHei" w:eastAsia="Microsoft YaHei"/>
          <w:i/>
          <w:color w:val="4B5563"/>
        </w:rPr>
      </w:r>
      <w:r>
        <w:rPr>
          <w:rFonts w:ascii="Consolas" w:hAnsi="Consolas" w:eastAsia="Consolas"/>
          <w:i/>
          <w:color w:val="4B5563"/>
        </w:rPr>
      </w:r>
      <w:r>
        <w:rPr>
          <w:rFonts w:ascii="Microsoft YaHei" w:hAnsi="Microsoft YaHei" w:eastAsia="Microsoft YaHei"/>
          <w:i/>
          <w:color w:val="4B5563"/>
        </w:rPr>
      </w:r>
    </w:p>
    <w:p>
      <w:pPr>
        <w:pStyle w:val="Heading3"/>
      </w:pPr>
      <w:r>
        <w:rPr>
          <w:rFonts w:ascii="SimHei" w:hAnsi="SimHei" w:eastAsia="SimHei"/>
          <w:color w:val="1E3A5F"/>
        </w:rPr>
        <w:t>A.1 问题的由来</w:t>
      </w:r>
    </w:p>
    <w:p>
      <w:r>
        <w:rPr>
          <w:rFonts w:ascii="Microsoft YaHei" w:hAnsi="Microsoft YaHei" w:eastAsia="Microsoft YaHei"/>
        </w:rPr>
        <w:t>基线复现的混淆矩阵显示：13 例错分中，</w:t>
      </w:r>
      <w:r>
        <w:rPr>
          <w:rFonts w:ascii="Microsoft YaHei" w:hAnsi="Microsoft YaHei" w:eastAsia="Microsoft YaHei"/>
          <w:b/>
        </w:rPr>
        <w:t>10 例（76.9%）集中于 `Trees → Meadows` 这一条路径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A.2 假说</w:t>
      </w:r>
    </w:p>
    <w:p>
      <w:r>
        <w:rPr>
          <w:rFonts w:ascii="Microsoft YaHei" w:hAnsi="Microsoft YaHei" w:eastAsia="Microsoft YaHei"/>
        </w:rPr>
        <w:t xml:space="preserve">PU 数据集空间分辨率为 1.3 m/像元，25 × 25 的 patch 覆盖 </w:t>
      </w:r>
      <w:r>
        <w:rPr>
          <w:rFonts w:ascii="Microsoft YaHei" w:hAnsi="Microsoft YaHei" w:eastAsia="Microsoft YaHei"/>
          <w:b/>
        </w:rPr>
        <w:t>32.5 m × 32.5 m</w:t>
      </w:r>
      <w:r>
        <w:rPr>
          <w:rFonts w:ascii="Microsoft YaHei" w:hAnsi="Microsoft YaHei" w:eastAsia="Microsoft YaHei"/>
        </w:rPr>
        <w:t>；</w:t>
      </w:r>
    </w:p>
    <w:p>
      <w:r>
        <w:rPr>
          <w:rFonts w:ascii="Microsoft YaHei" w:hAnsi="Microsoft YaHei" w:eastAsia="Microsoft YaHei"/>
        </w:rPr>
        <w:t>PU 为城区影像、地物斑块破碎，该窗口</w:t>
      </w:r>
      <w:r>
        <w:rPr>
          <w:rFonts w:ascii="Microsoft YaHei" w:hAnsi="Microsoft YaHei" w:eastAsia="Microsoft YaHei"/>
          <w:b/>
        </w:rPr>
        <w:t>必然跨越多个类别</w:t>
      </w:r>
      <w:r>
        <w:rPr>
          <w:rFonts w:ascii="Microsoft YaHei" w:hAnsi="Microsoft YaHei" w:eastAsia="Microsoft YaHei"/>
        </w:rPr>
        <w:t>；</w:t>
      </w:r>
    </w:p>
    <w:p>
      <w:r>
        <w:rPr>
          <w:rFonts w:ascii="Microsoft YaHei" w:hAnsi="Microsoft YaHei" w:eastAsia="Microsoft YaHei"/>
        </w:rPr>
        <w:t xml:space="preserve">边界处「树」像元的邻域被最大类 Meadows（占比 43.6%）主导 → </w:t>
      </w:r>
      <w:r>
        <w:rPr>
          <w:rFonts w:ascii="Microsoft YaHei" w:hAnsi="Microsoft YaHei" w:eastAsia="Microsoft YaHei"/>
          <w:b/>
        </w:rPr>
        <w:t>邻域污染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A.3 验证的难点与方案设计</w:t>
      </w:r>
    </w:p>
    <w:p>
      <w:r>
        <w:rPr>
          <w:rFonts w:ascii="Microsoft YaHei" w:hAnsi="Microsoft YaHei" w:eastAsia="Microsoft YaHei"/>
          <w:b/>
        </w:rPr>
        <w:t>难点</w:t>
      </w:r>
      <w:r>
        <w:rPr>
          <w:rFonts w:ascii="Microsoft YaHei" w:hAnsi="Microsoft YaHei" w:eastAsia="Microsoft YaHei"/>
        </w:rPr>
        <w:t>：直接缩小 patch 会同时使参数量下降 94.7%，性能变化无法归因。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A：缩小 patch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B：25×25 + 中心 11×11 置零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做法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patch 尺寸改为 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输入张量仍为 25×25，外围 7 圈置 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有效邻域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11×11（14.3 m）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11×11（14.3 m）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257,273（−94.7%）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4,844,793（完全一致）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计算量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3.49 M（−93.1%）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50.95 M（完全一致）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变化的因素数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 个</w:t>
            </w:r>
            <w:r>
              <w:rPr>
                <w:rFonts w:ascii="Microsoft YaHei" w:hAnsi="Microsoft YaHei" w:eastAsia="Microsoft YaHei"/>
                <w:sz w:val="18"/>
              </w:rPr>
              <w:t>（邻域 + 容量）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 个</w:t>
            </w:r>
            <w:r>
              <w:rPr>
                <w:rFonts w:ascii="Microsoft YaHei" w:hAnsi="Microsoft YaHei" w:eastAsia="Microsoft YaHei"/>
                <w:sz w:val="18"/>
              </w:rPr>
              <w:t>（仅邻域）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A.4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原实验（25×25 全信息）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B（11×11 置零）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0.9994935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0.9997662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+0.0273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0.9992247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0.9995023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+0.0278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0.9993287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0.9996902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+0.0362 pp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错分像元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−7（减少 54%）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参数量 / 计算量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 / 50.95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完全一致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A.5 因素分离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错误路径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原实验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→ Meadows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Asphalt → 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Asphalt → Bare Soil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Self-Blocking Bricks → Gravel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总错分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 B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归因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→ 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→ 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源于</w:t>
            </w:r>
            <w:r>
              <w:rPr>
                <w:rFonts w:ascii="Microsoft YaHei" w:hAnsi="Microsoft YaHei" w:eastAsia="Microsoft YaHei"/>
                <w:b/>
                <w:sz w:val="18"/>
              </w:rPr>
              <w:t>邻域污染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 → 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源于</w:t>
            </w:r>
            <w:r>
              <w:rPr>
                <w:rFonts w:ascii="Microsoft YaHei" w:hAnsi="Microsoft YaHei" w:eastAsia="Microsoft YaHei"/>
                <w:b/>
                <w:sz w:val="18"/>
              </w:rPr>
              <w:t>模型容量不足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 错分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 → 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A.6 小结</w:t>
      </w:r>
    </w:p>
    <w:p>
      <w:r>
        <w:rPr>
          <w:rFonts w:ascii="Microsoft YaHei" w:hAnsi="Microsoft YaHei" w:eastAsia="Microsoft YaHei"/>
          <w:b/>
        </w:rPr>
        <w:t>两类混淆机制</w:t>
      </w:r>
      <w:r>
        <w:rPr>
          <w:rFonts w:ascii="Microsoft YaHei" w:hAnsi="Microsoft YaHei" w:eastAsia="Microsoft YaHei"/>
        </w:rPr>
        <w:t>：类型 A「邻域污染型」（Trees ↔ Meadows，光谱角 15.74°）只能通过</w:t>
      </w:r>
      <w:r>
        <w:rPr>
          <w:rFonts w:ascii="Microsoft YaHei" w:hAnsi="Microsoft YaHei" w:eastAsia="Microsoft YaHei"/>
          <w:b/>
        </w:rPr>
        <w:t>缩减有效邻域</w:t>
      </w:r>
      <w:r>
        <w:rPr>
          <w:rFonts w:ascii="Microsoft YaHei" w:hAnsi="Microsoft YaHei" w:eastAsia="Microsoft YaHei"/>
        </w:rPr>
        <w:t>改善；</w:t>
      </w:r>
    </w:p>
    <w:p>
      <w:r>
        <w:rPr>
          <w:rFonts w:ascii="Microsoft YaHei" w:hAnsi="Microsoft YaHei" w:eastAsia="Microsoft YaHei"/>
        </w:rPr>
        <w:t>类型 B「光谱相似型」（Asphalt ↔ Bitumen 1.81°、Gravel ↔ Self-Blocking Bricks 0.96°）只能通过</w:t>
      </w:r>
      <w:r>
        <w:rPr>
          <w:rFonts w:ascii="Microsoft YaHei" w:hAnsi="Microsoft YaHei" w:eastAsia="Microsoft YaHei"/>
          <w:b/>
        </w:rPr>
        <w:t>保持或增加判别容量</w:t>
      </w:r>
      <w:r>
        <w:rPr>
          <w:rFonts w:ascii="Microsoft YaHei" w:hAnsi="Microsoft YaHei" w:eastAsia="Microsoft YaHei"/>
        </w:rPr>
        <w:t>改善。</w:t>
      </w:r>
    </w:p>
    <w:p>
      <w:r>
        <w:rPr>
          <w:rFonts w:ascii="Microsoft YaHei" w:hAnsi="Microsoft YaHei" w:eastAsia="Microsoft YaHei"/>
          <w:b/>
        </w:rPr>
        <w:t>两者优化方向相反</w:t>
      </w:r>
      <w:r>
        <w:rPr>
          <w:rFonts w:ascii="Microsoft YaHei" w:hAnsi="Microsoft YaHei" w:eastAsia="Microsoft YaHei"/>
        </w:rPr>
        <w:t xml:space="preserve"> —— 这解释了为何单一配置难以在所有类别上同时取得最优性能。</w:t>
      </w:r>
    </w:p>
    <w:p>
      <w:r>
        <w:rPr>
          <w:rFonts w:ascii="Microsoft YaHei" w:hAnsi="Microsoft YaHei" w:eastAsia="Microsoft YaHei"/>
          <w:b/>
        </w:rPr>
        <w:t>实用建议</w:t>
      </w:r>
      <w:r>
        <w:rPr>
          <w:rFonts w:ascii="Microsoft YaHei" w:hAnsi="Microsoft YaHei" w:eastAsia="Microsoft YaHei"/>
        </w:rPr>
        <w:t xml:space="preserve">：PU 类城区高光谱数据可将 patch 有效邻域缩减至 </w:t>
      </w:r>
      <w:r>
        <w:rPr>
          <w:rFonts w:ascii="Microsoft YaHei" w:hAnsi="Microsoft YaHei" w:eastAsia="Microsoft YaHei"/>
          <w:b/>
        </w:rPr>
        <w:t>11×11 ~ 15×15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  <w:b/>
        </w:rPr>
        <w:t>不增加任何参数与计算成本</w:t>
      </w:r>
      <w:r>
        <w:rPr>
          <w:rFonts w:ascii="Microsoft YaHei" w:hAnsi="Microsoft YaHei" w:eastAsia="Microsoft YaHei"/>
        </w:rPr>
        <w:t>即可将 OA 由 99.949% 提升至 99.977%、错分由 13 降至 6。</w:t>
      </w:r>
    </w:p>
    <w:p>
      <w:r>
        <w:rPr>
          <w:rFonts w:ascii="Microsoft YaHei" w:hAnsi="Microsoft YaHei" w:eastAsia="Microsoft YaHei"/>
          <w:b/>
        </w:rPr>
        <w:t>参数冗余</w:t>
      </w:r>
      <w:r>
        <w:rPr>
          <w:rFonts w:ascii="Microsoft YaHei" w:hAnsi="Microsoft YaHei" w:eastAsia="Microsoft YaHei"/>
        </w:rPr>
        <w:t>：参数量减少 94.7%、计算量减少 93.1% 时 OA 仅降 0.0078 pp、AA 仅降 0.0008 pp；</w:t>
      </w:r>
    </w:p>
    <w:p>
      <w:r>
        <w:rPr>
          <w:rFonts w:ascii="Microsoft YaHei" w:hAnsi="Microsoft YaHei" w:eastAsia="Microsoft YaHei"/>
        </w:rPr>
        <w:t xml:space="preserve">冗余集中于第一个全连接层（占全模型参数量 </w:t>
      </w:r>
      <w:r>
        <w:rPr>
          <w:rFonts w:ascii="Microsoft YaHei" w:hAnsi="Microsoft YaHei" w:eastAsia="Microsoft YaHei"/>
          <w:b/>
        </w:rPr>
        <w:t>97.7%</w:t>
      </w:r>
      <w:r>
        <w:rPr>
          <w:rFonts w:ascii="Microsoft YaHei" w:hAnsi="Microsoft YaHei" w:eastAsia="Microsoft YaHei"/>
        </w:rPr>
        <w:t>）。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