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A1A1A"/>
        </w:rPr>
        <w:t>太极总线与外设接口规范</w:t>
      </w:r>
    </w:p>
    <w:p>
      <w:pPr>
        <w:jc w:val="center"/>
      </w:pPr>
      <w:r>
        <w:rPr>
          <w:color w:val="333333"/>
          <w:sz w:val="32"/>
        </w:rPr>
        <w:t>Taiji Bus &amp; Peripheral Interface Specification v1.0</w:t>
      </w:r>
    </w:p>
    <w:p/>
    <w:p>
      <w:pPr>
        <w:jc w:val="center"/>
      </w:pPr>
      <w:r>
        <w:rPr>
          <w:color w:val="555555"/>
          <w:sz w:val="24"/>
        </w:rPr>
        <w:t>基于太极指令集架构（TISA）v1.0</w:t>
      </w:r>
    </w:p>
    <w:p>
      <w:pPr>
        <w:jc w:val="center"/>
      </w:pPr>
      <w:r>
        <w:rPr>
          <w:color w:val="555555"/>
          <w:sz w:val="24"/>
        </w:rPr>
        <w:t>基于太极微架构 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版本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正式发布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日期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2026-07-02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编制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玄同工作室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1A1A"/>
          <w:sz w:val="36"/>
        </w:rPr>
        <w:t>目  录</w:t>
      </w:r>
    </w:p>
    <w:p/>
    <w:p>
      <w:pPr>
        <w:jc w:val="left"/>
      </w:pPr>
      <w:r>
        <w:rPr>
          <w:sz w:val="22"/>
        </w:rPr>
        <w:t xml:space="preserve">一、概述  </w:t>
      </w:r>
      <w:r>
        <w:rPr>
          <w:color w:val="888888"/>
          <w:sz w:val="22"/>
        </w:rPr>
        <w:t>.......................................................</w:t>
      </w:r>
      <w:r>
        <w:rPr>
          <w:sz w:val="22"/>
        </w:rPr>
        <w:t xml:space="preserve">  3</w:t>
      </w:r>
    </w:p>
    <w:p>
      <w:pPr>
        <w:jc w:val="left"/>
      </w:pPr>
      <w:r>
        <w:rPr>
          <w:sz w:val="22"/>
        </w:rPr>
        <w:t xml:space="preserve">二、总线架构  </w:t>
      </w:r>
      <w:r>
        <w:rPr>
          <w:color w:val="888888"/>
          <w:sz w:val="22"/>
        </w:rPr>
        <w:t>.....................................................</w:t>
      </w:r>
      <w:r>
        <w:rPr>
          <w:sz w:val="22"/>
        </w:rPr>
        <w:t xml:space="preserve">  3</w:t>
      </w:r>
    </w:p>
    <w:p>
      <w:pPr>
        <w:jc w:val="left"/>
      </w:pPr>
      <w:r>
        <w:rPr>
          <w:sz w:val="22"/>
        </w:rPr>
        <w:t xml:space="preserve">三、外设寻址  </w:t>
      </w:r>
      <w:r>
        <w:rPr>
          <w:color w:val="888888"/>
          <w:sz w:val="22"/>
        </w:rPr>
        <w:t>.....................................................</w:t>
      </w:r>
      <w:r>
        <w:rPr>
          <w:sz w:val="22"/>
        </w:rPr>
        <w:t xml:space="preserve">  5</w:t>
      </w:r>
    </w:p>
    <w:p>
      <w:pPr>
        <w:jc w:val="left"/>
      </w:pPr>
      <w:r>
        <w:rPr>
          <w:sz w:val="22"/>
        </w:rPr>
        <w:t xml:space="preserve">四、标准外设  </w:t>
      </w:r>
      <w:r>
        <w:rPr>
          <w:color w:val="888888"/>
          <w:sz w:val="22"/>
        </w:rPr>
        <w:t>.....................................................</w:t>
      </w:r>
      <w:r>
        <w:rPr>
          <w:sz w:val="22"/>
        </w:rPr>
        <w:t xml:space="preserve">  6</w:t>
      </w:r>
    </w:p>
    <w:p>
      <w:pPr>
        <w:jc w:val="left"/>
      </w:pPr>
      <w:r>
        <w:rPr>
          <w:sz w:val="22"/>
        </w:rPr>
        <w:t xml:space="preserve">五、中断系统  </w:t>
      </w:r>
      <w:r>
        <w:rPr>
          <w:color w:val="888888"/>
          <w:sz w:val="22"/>
        </w:rPr>
        <w:t>.....................................................</w:t>
      </w:r>
      <w:r>
        <w:rPr>
          <w:sz w:val="22"/>
        </w:rPr>
        <w:t xml:space="preserve">  9</w:t>
      </w:r>
    </w:p>
    <w:p>
      <w:pPr>
        <w:jc w:val="left"/>
      </w:pPr>
      <w:r>
        <w:rPr>
          <w:sz w:val="22"/>
        </w:rPr>
        <w:t xml:space="preserve">六、总线仲裁  </w:t>
      </w:r>
      <w:r>
        <w:rPr>
          <w:color w:val="888888"/>
          <w:sz w:val="22"/>
        </w:rPr>
        <w:t>....................................................</w:t>
      </w:r>
      <w:r>
        <w:rPr>
          <w:sz w:val="22"/>
        </w:rPr>
        <w:t xml:space="preserve">  11</w:t>
      </w:r>
    </w:p>
    <w:p>
      <w:pPr>
        <w:jc w:val="left"/>
      </w:pPr>
      <w:r>
        <w:rPr>
          <w:sz w:val="22"/>
        </w:rPr>
        <w:t xml:space="preserve">七、外设编程模型  </w:t>
      </w:r>
      <w:r>
        <w:rPr>
          <w:color w:val="888888"/>
          <w:sz w:val="22"/>
        </w:rPr>
        <w:t>..................................................</w:t>
      </w:r>
      <w:r>
        <w:rPr>
          <w:sz w:val="22"/>
        </w:rPr>
        <w:t xml:space="preserve">  11</w:t>
      </w:r>
    </w:p>
    <w:p>
      <w:pPr>
        <w:jc w:val="left"/>
      </w:pPr>
      <w:r>
        <w:rPr>
          <w:sz w:val="22"/>
        </w:rPr>
        <w:t xml:space="preserve">八、文档信息  </w:t>
      </w:r>
      <w:r>
        <w:rPr>
          <w:color w:val="888888"/>
          <w:sz w:val="22"/>
        </w:rPr>
        <w:t>....................................................</w:t>
      </w:r>
      <w:r>
        <w:rPr>
          <w:sz w:val="22"/>
        </w:rPr>
        <w:t xml:space="preserve">  13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一、概述</w:t>
      </w:r>
    </w:p>
    <w:p>
      <w:pPr>
        <w:pStyle w:val="Heading2"/>
      </w:pPr>
      <w:r>
        <w:rPr>
          <w:b/>
          <w:color w:val="1A1A1A"/>
        </w:rPr>
        <w:t>1.1 功能定位</w:t>
      </w:r>
    </w:p>
    <w:p>
      <w:pPr>
        <w:jc w:val="left"/>
      </w:pPr>
      <w:r>
        <w:t>太极总线是连接太极CPU核心与外围设备的三进制数据通路。本规范定义总线协议、外设寻址、中断路由和标准外设接口。</w:t>
      </w:r>
    </w:p>
    <w:p>
      <w:pPr>
        <w:pStyle w:val="Heading2"/>
      </w:pPr>
      <w:r>
        <w:rPr>
          <w:b/>
          <w:color w:val="1A1A1A"/>
        </w:rPr>
        <w:t>1.2 核心特征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三进制原生总线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地址、数据、控制信号均为三进制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统一编址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外设寄存器映射到南极段地址空间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三线握手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请求-应答-释放三态握手机制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极性感知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总线事务跟随指令极性，阳=写入外设，阴=读取外设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中断路由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外设中断通过统一异常入口分发，入口与程序入口分离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标准外设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串口、定时器、GPIO、存储设备</w:t>
            </w:r>
          </w:p>
        </w:tc>
      </w:tr>
    </w:tbl>
    <w:p>
      <w:pPr>
        <w:pStyle w:val="Heading2"/>
      </w:pPr>
      <w:r>
        <w:rPr>
          <w:b/>
          <w:color w:val="1A1A1A"/>
        </w:rPr>
        <w:t>1.3 外设访问指令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指令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输出 基址寄存器, 源寄存器, #偏移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将源寄存器数据写入外设寄存器（基址+偏移）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输入 目标寄存器, 基址寄存器, #偏移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从外设寄存器（基址+偏移）读取数据到目标寄存器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1A1A"/>
        </w:rPr>
        <w:t>二、总线架构</w:t>
      </w:r>
    </w:p>
    <w:p>
      <w:pPr>
        <w:pStyle w:val="Heading2"/>
      </w:pPr>
      <w:r>
        <w:rPr>
          <w:b/>
          <w:color w:val="1A1A1A"/>
        </w:rPr>
        <w:t>2.1 顶层架构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太极CPU核心                          │</w:t>
        <w:br/>
        <w:t>│                                                          │</w:t>
        <w:br/>
        <w:t>│  ┌─────────┐   ┌─────────┐   ┌─────────┐              │</w:t>
        <w:br/>
        <w:t>│  │ 取指单元 │   │ 执行单元 │   │ 内存控制器│              │</w:t>
        <w:br/>
        <w:t>│  └─────────┘   └─────────┘   └─────┬───┘              │</w:t>
        <w:br/>
        <w:t>│                                     │                    │</w:t>
        <w:br/>
        <w:t>│                           ┌─────────┴─────────┐        │</w:t>
        <w:br/>
        <w:t>│                           │     总线控制器      │        │</w:t>
        <w:br/>
        <w:t>│                           └─────────┬─────────┘        │</w:t>
        <w:br/>
        <w:t>└─────────────────────────────────────┼───────────────────┘</w:t>
        <w:br/>
        <w:t xml:space="preserve">                                      │</w:t>
        <w:br/>
        <w:t xml:space="preserve">                    ┌─────────────────┴─────────────────┐</w:t>
        <w:br/>
        <w:t xml:space="preserve">                    │           太极总线                  │</w:t>
        <w:br/>
        <w:t xml:space="preserve">                    │   地址总线 (27 trit)                │</w:t>
        <w:br/>
        <w:t xml:space="preserve">                    │   数据总线 (27 trit)                │</w:t>
        <w:br/>
        <w:t xml:space="preserve">                    │   控制总线 (3 trit)                 │</w:t>
        <w:br/>
        <w:t xml:space="preserve">                    │   应答信号 (1 trit)                 │</w:t>
        <w:br/>
        <w:t xml:space="preserve">                    │   中断请求 (1 trit)                 │</w:t>
        <w:br/>
        <w:t xml:space="preserve">                    └─────────────────┬─────────────────┘</w:t>
        <w:br/>
        <w:t xml:space="preserve">                                      │</w:t>
        <w:br/>
        <w:t xml:space="preserve">        ┌─────────────┬───────────────┼───────────────┬─────────────┐</w:t>
        <w:br/>
        <w:t xml:space="preserve">        ▼             ▼               ▼               ▼             ▼</w:t>
        <w:br/>
        <w:t xml:space="preserve">   ┌─────────┐  ┌─────────┐    ┌─────────┐    ┌─────────┐   ┌─────────┐</w:t>
        <w:br/>
        <w:t xml:space="preserve">   │ 串口    │  │ 定时器   │    │ GPIO    │    │ 存储    │   │ 中断    │</w:t>
        <w:br/>
        <w:t xml:space="preserve">   │ 控制器  │  │ 控制器   │    │ 控制器  │    │ 控制器  │   │ 控制器  │</w:t>
        <w:br/>
        <w:t xml:space="preserve">   └─────────┘  └─────────┘    └─────────┘    └─────────┘   └─────────┘</w:t>
      </w:r>
    </w:p>
    <w:p>
      <w:pPr>
        <w:pStyle w:val="Heading2"/>
      </w:pPr>
      <w:r>
        <w:rPr>
          <w:b/>
          <w:color w:val="1A1A1A"/>
        </w:rPr>
        <w:t>2.2 总线信号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信号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位宽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ADDR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27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CPU → 外设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地址总线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DATA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27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双向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数据总线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CTRL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3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CPU → 外设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控制总线（仅发送命令）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ACK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1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外设 → CPU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应答/就绪信号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INTR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1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外设 → CPU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中断请求信号</w:t>
            </w:r>
          </w:p>
        </w:tc>
      </w:tr>
    </w:tbl>
    <w:p>
      <w:pPr>
        <w:pStyle w:val="Heading2"/>
      </w:pPr>
      <w:r>
        <w:rPr>
          <w:b/>
          <w:color w:val="1A1A1A"/>
        </w:rPr>
        <w:t>2.3 控制总线编码</w:t>
      </w:r>
    </w:p>
    <w:p>
      <w:pPr>
        <w:jc w:val="left"/>
      </w:pPr>
      <w:r>
        <w:t>CTRL 总线仅用于 CPU 向外设发送操作命令。外设通过 ACK 信号返回应答。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CTRL 值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能量方向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阳阳阳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写入（STORE）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阳（消耗）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阴阴阴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读取（LOAD）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阴（回收）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太极太极太极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空闲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太极（平衡）</w:t>
            </w:r>
          </w:p>
        </w:tc>
      </w:tr>
    </w:tbl>
    <w:p>
      <w:pPr>
        <w:pStyle w:val="Heading2"/>
      </w:pPr>
      <w:r>
        <w:rPr>
          <w:b/>
          <w:color w:val="1A1A1A"/>
        </w:rPr>
        <w:t>2.4 ACK 信号</w:t>
      </w:r>
    </w:p>
    <w:p>
      <w:pPr>
        <w:jc w:val="left"/>
      </w:pPr>
      <w:r>
        <w:t>ACK 信号由外设驱动，用于握手确认：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ACK 值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就绪/应答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等待/忙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错误（外设故障或地址无效）</w:t>
            </w:r>
          </w:p>
        </w:tc>
      </w:tr>
    </w:tbl>
    <w:p>
      <w:pPr>
        <w:pStyle w:val="Heading2"/>
      </w:pPr>
      <w:r>
        <w:rPr>
          <w:b/>
          <w:color w:val="1A1A1A"/>
        </w:rPr>
        <w:t>2.5 总线时序</w:t>
      </w:r>
    </w:p>
    <w:p>
      <w:pPr>
        <w:jc w:val="left"/>
      </w:pPr>
      <w:r>
        <w:rPr>
          <w:b/>
        </w:rPr>
        <w:t>写事务：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周期:       T0         T1         T2</w:t>
        <w:br/>
        <w:t xml:space="preserve">          ───────   ───────   ───────</w:t>
        <w:br/>
        <w:t>CTRL:     阳阳阳     阳阳阳     太极太极太极</w:t>
        <w:br/>
        <w:t>ADDR:     地址       地址       —</w:t>
        <w:br/>
        <w:t>DATA:     数据       数据       —</w:t>
        <w:br/>
        <w:t>ACK:      太极       阳/阴      —</w:t>
      </w:r>
    </w:p>
    <w:p>
      <w:pPr>
        <w:jc w:val="left"/>
      </w:pPr>
      <w:r>
        <w:rPr>
          <w:b/>
        </w:rPr>
        <w:t>读事务：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周期:       T0         T1         T2</w:t>
        <w:br/>
        <w:t xml:space="preserve">          ───────   ───────   ───────</w:t>
        <w:br/>
        <w:t>CTRL:     阴阴阴     阴阴阴     太极太极太极</w:t>
        <w:br/>
        <w:t>ADDR:     地址       地址       —</w:t>
        <w:br/>
        <w:t>DATA:     太极       数据       —</w:t>
        <w:br/>
        <w:t>ACK:      太极       阳/阴      —</w:t>
      </w:r>
    </w:p>
    <w:p>
      <w:r>
        <w:rPr>
          <w:b/>
          <w:sz w:val="20"/>
        </w:rPr>
        <w:t>T0</w:t>
      </w:r>
      <w:r>
        <w:t>：CPU 发起事务，驱动地址、数据（写）和控制信号。外设返回 ACK=太极（等待）。</w:t>
      </w:r>
    </w:p>
    <w:p>
      <w:r>
        <w:rPr>
          <w:b/>
          <w:sz w:val="20"/>
        </w:rPr>
        <w:t>T1</w:t>
      </w:r>
      <w:r>
        <w:t>：外设响应。写事务：外设锁存数据并返回 ACK=阳。读事务：外设驱动数据总线并返回 ACK=阳。如外设故障或地址无效，返回 ACK=阴。</w:t>
      </w:r>
    </w:p>
    <w:p>
      <w:r>
        <w:rPr>
          <w:b/>
          <w:sz w:val="20"/>
        </w:rPr>
        <w:t>T2</w:t>
      </w:r>
      <w:r>
        <w:t>：CPU 释放总线，CTRL 归太极，DATA 归太极。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三、外设寻址</w:t>
      </w:r>
    </w:p>
    <w:p>
      <w:pPr>
        <w:pStyle w:val="Heading2"/>
      </w:pPr>
      <w:r>
        <w:rPr>
          <w:b/>
          <w:color w:val="1A1A1A"/>
        </w:rPr>
        <w:t>3.1 外设地址空间</w:t>
      </w:r>
    </w:p>
    <w:p>
      <w:pPr>
        <w:jc w:val="left"/>
      </w:pPr>
      <w:r>
        <w:t>外设寄存器映射到南极段高地址区域：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地址范围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0xFFFF000 ~ 0xFFFF0FF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256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系统控制寄存器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0xFFFF100 ~ 0xFFFF1FF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256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串口控制器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0xFFFF200 ~ 0xFFFF2FF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256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定时器控制器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0xFFFF300 ~ 0xFFFF3FF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256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GPIO 控制器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0xFFFF400 ~ 0xFFFF4FF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256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存储控制器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0xFFFF500 ~ 0xFFFF5FF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256 极字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中断控制器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0xFFFF600 ~ 0xFFFFFFF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保留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未来扩展</w:t>
            </w:r>
          </w:p>
        </w:tc>
      </w:tr>
    </w:tbl>
    <w:p>
      <w:pPr>
        <w:pStyle w:val="Heading2"/>
      </w:pPr>
      <w:r>
        <w:rPr>
          <w:b/>
          <w:color w:val="1A1A1A"/>
        </w:rPr>
        <w:t>3.2 系统控制寄存器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偏移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0x00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SYS_ID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系统标识（只读）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0x01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SYS_STATUS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系统状态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0x02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SYS_CTRL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系统控制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0x03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CLK_FREQ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时钟频率（MHz）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0x04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CLK_COUNT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时钟周期计数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0x05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CORE_COUNT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核心数量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0x06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MEM_SIZE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内存大小（极字数）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0x07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BOOT_STATUS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0"/>
              </w:rPr>
              <w:t>启动状态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1A1A"/>
        </w:rPr>
        <w:t>四、标准外设</w:t>
      </w:r>
    </w:p>
    <w:p>
      <w:pPr>
        <w:pStyle w:val="Heading2"/>
      </w:pPr>
      <w:r>
        <w:rPr>
          <w:b/>
          <w:color w:val="1A1A1A"/>
        </w:rPr>
        <w:t>4.1 串口控制器</w:t>
      </w:r>
    </w:p>
    <w:p>
      <w:pPr>
        <w:jc w:val="left"/>
      </w:pPr>
      <w:r>
        <w:t>寄存器映射：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偏移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位宽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UART_DATA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8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收发数据寄存器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UART_STATUS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状态寄存器（位图）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UART_CTRL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控制寄存器（位图）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UART_BAUD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16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波特率配置</w:t>
            </w:r>
          </w:p>
        </w:tc>
      </w:tr>
    </w:tbl>
    <w:p>
      <w:pPr>
        <w:jc w:val="left"/>
      </w:pPr>
      <w:r>
        <w:rPr>
          <w:b/>
        </w:rPr>
        <w:t>UART_STATUS</w:t>
      </w:r>
      <w:r>
        <w:t xml:space="preserve"> 位定义（位图）：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trit 位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RX_READY（阳=接收数据就绪，太极=空闲）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TX_READY（阳=发送就绪，太极=忙）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RX_ERROR（阳=接收错误，太极=正常）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TX_ERROR（阳=发送错误，太极=正常）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4-8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保留（太极）</w:t>
            </w:r>
          </w:p>
        </w:tc>
      </w:tr>
    </w:tbl>
    <w:p>
      <w:pPr>
        <w:jc w:val="left"/>
      </w:pPr>
      <w:r>
        <w:rPr>
          <w:b/>
        </w:rPr>
        <w:t>UART_CTRL</w:t>
      </w:r>
      <w:r>
        <w:t xml:space="preserve"> 位定义（位图）：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trit 位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RX_EN（阳=使能接收，太极=关闭）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TX_EN（阳=使能发送，太极=关闭）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RX_INT_EN（阳=使能接收中断）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TX_INT_EN（阳=使能发送中断）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4-8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保留（太极）</w:t>
            </w:r>
          </w:p>
        </w:tc>
      </w:tr>
    </w:tbl>
    <w:p>
      <w:pPr>
        <w:pStyle w:val="Heading2"/>
      </w:pPr>
      <w:r>
        <w:rPr>
          <w:b/>
          <w:color w:val="1A1A1A"/>
        </w:rPr>
        <w:t>4.2 定时器控制器</w:t>
      </w:r>
    </w:p>
    <w:p>
      <w:pPr>
        <w:jc w:val="left"/>
      </w:pPr>
      <w:r>
        <w:t>寄存器映射：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偏移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位宽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TIMER_COUNT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27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当前计数值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TIMER_CMP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27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比较值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TIMER_CTRL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控制寄存器（位图）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TIMER_DIV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8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预分频器</w:t>
            </w:r>
          </w:p>
        </w:tc>
      </w:tr>
    </w:tbl>
    <w:p>
      <w:pPr>
        <w:jc w:val="left"/>
      </w:pPr>
      <w:r>
        <w:rPr>
          <w:b/>
        </w:rPr>
        <w:t>TIMER_CTRL</w:t>
      </w:r>
      <w:r>
        <w:t xml:space="preserve"> 位定义（位图）：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trit 位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EN（阳=使能定时器，太极=关闭）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ONE_SHOT（阳=单次模式，太极=循环模式）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INT_EN（阳=使能中断）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3-8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保留（太极）</w:t>
            </w:r>
          </w:p>
        </w:tc>
      </w:tr>
    </w:tbl>
    <w:p>
      <w:pPr>
        <w:jc w:val="left"/>
      </w:pPr>
      <w:r>
        <w:t>当 TIMER_COUNT &gt;= TIMER_CMP 且中断使能时，触发定时器中断。</w:t>
      </w:r>
    </w:p>
    <w:p>
      <w:pPr>
        <w:pStyle w:val="Heading2"/>
      </w:pPr>
      <w:r>
        <w:rPr>
          <w:b/>
          <w:color w:val="1A1A1A"/>
        </w:rPr>
        <w:t>4.3 GPIO 控制器</w:t>
      </w:r>
    </w:p>
    <w:p>
      <w:pPr>
        <w:jc w:val="left"/>
      </w:pPr>
      <w:r>
        <w:t>寄存器映射：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偏移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位宽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GPIO_IN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16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输入数据（位图）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GPIO_OUT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16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输出数据（位图）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GPIO_DIR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16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方向（阳=输出, 阴=输入）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GPIO_INT_EN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16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中断使能（位图）</w:t>
            </w:r>
          </w:p>
        </w:tc>
      </w:tr>
    </w:tbl>
    <w:p>
      <w:pPr>
        <w:jc w:val="left"/>
      </w:pPr>
      <w:r>
        <w:t>GPIO 引脚共 16 个，每个引脚由一个 trit 独立控制。输出值时，阳=高电平，太极=高阻，阴=低电平。</w:t>
      </w:r>
    </w:p>
    <w:p>
      <w:pPr>
        <w:pStyle w:val="Heading2"/>
      </w:pPr>
      <w:r>
        <w:rPr>
          <w:b/>
          <w:color w:val="1A1A1A"/>
        </w:rPr>
        <w:t>4.4 存储控制器</w:t>
      </w:r>
    </w:p>
    <w:p>
      <w:pPr>
        <w:jc w:val="left"/>
      </w:pPr>
      <w:r>
        <w:t>寄存器映射：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偏移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位宽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STOR_ADDR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27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存储地址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STOR_DATA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27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数据寄存器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STOR_CTRL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控制寄存器（位图）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STOR_STATUS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9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状态寄存器（位图）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STOR_SIZE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27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传输大小（极字数）</w:t>
            </w:r>
          </w:p>
        </w:tc>
      </w:tr>
    </w:tbl>
    <w:p>
      <w:pPr>
        <w:jc w:val="left"/>
      </w:pPr>
      <w:r>
        <w:rPr>
          <w:b/>
        </w:rPr>
        <w:t>STOR_CTRL</w:t>
      </w:r>
      <w:r>
        <w:t xml:space="preserve"> 位定义（位图）：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trit 位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READ（阳=读操作）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WRITE（阳=写操作）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INT_EN（阳=使能完成中断）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3-8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保留（太极）</w:t>
            </w:r>
          </w:p>
        </w:tc>
      </w:tr>
    </w:tbl>
    <w:p>
      <w:pPr>
        <w:jc w:val="left"/>
      </w:pPr>
      <w:r>
        <w:rPr>
          <w:b/>
        </w:rPr>
        <w:t>STOR_STATUS</w:t>
      </w:r>
      <w:r>
        <w:t xml:space="preserve"> 位定义（位图）：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trit 位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BUSY（阳=忙，太极=空闲）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ERROR（阳=错误）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DONE（阳=操作完成）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3-8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保留（太极）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1A1A"/>
        </w:rPr>
        <w:t>五、中断系统</w:t>
      </w:r>
    </w:p>
    <w:p>
      <w:pPr>
        <w:pStyle w:val="Heading2"/>
      </w:pPr>
      <w:r>
        <w:rPr>
          <w:b/>
          <w:color w:val="1A1A1A"/>
        </w:rPr>
        <w:t>5.1 中断架构</w:t>
      </w:r>
    </w:p>
    <w:p>
      <w:pPr>
        <w:jc w:val="left"/>
      </w:pPr>
      <w:r>
        <w:t>异常入口与程序入口分离。北极段前 256 极字保留为异常跳板区，程序入口从 0x0000100 开始。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地址空间布局（北极段前部）:</w:t>
        <w:br/>
        <w:br/>
        <w:t>0x0000000 ┌──────────────────────────┐</w:t>
        <w:br/>
        <w:t xml:space="preserve">          │  异常跳板区 (256 极字)    │</w:t>
        <w:br/>
        <w:t xml:space="preserve">          │  每条跳板指令占 1 极字    │</w:t>
        <w:br/>
        <w:t xml:space="preserve">          │  共支持 256 个异常/中断   │</w:t>
        <w:br/>
        <w:t>0x0000100 ├──────────────────────────┤</w:t>
        <w:br/>
        <w:t xml:space="preserve">          │  程序入口 (_start)        │</w:t>
        <w:br/>
        <w:t xml:space="preserve">          │  用户代码段               │</w:t>
        <w:br/>
        <w:t xml:space="preserve">          └──────────────────────────┘</w:t>
      </w:r>
    </w:p>
    <w:p>
      <w:pPr>
        <w:jc w:val="left"/>
      </w:pPr>
      <w:r>
        <w:t>硬件响应异常/中断时，程计跳转到 异常号 × 1 的地址（即每个异常号对应一个极字的跳板空间）。跳板处放置一条跳转指令，跳转到 OS 中对应的处理函数。</w:t>
      </w:r>
    </w:p>
    <w:p>
      <w:pPr>
        <w:jc w:val="left"/>
      </w:pPr>
      <w:r>
        <w:t>链接器规范 3.4 节入口地址同步更新为 0x0000100。</w:t>
      </w:r>
    </w:p>
    <w:p>
      <w:pPr>
        <w:pStyle w:val="Heading2"/>
      </w:pPr>
      <w:r>
        <w:rPr>
          <w:b/>
          <w:color w:val="1A1A1A"/>
        </w:rPr>
        <w:t>5.2 中断控制器寄存器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偏移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位宽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INT_PENDING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8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中断待处理标志（位图）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INT_ENABLE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8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中断使能（位图）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INT_PRIORITY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8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中断优先级（每个中断 1 trit）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INT_VECTOR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8 trit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当前最高优先级中断向量</w:t>
            </w:r>
          </w:p>
        </w:tc>
      </w:tr>
    </w:tbl>
    <w:p>
      <w:pPr>
        <w:pStyle w:val="Heading2"/>
      </w:pPr>
      <w:r>
        <w:rPr>
          <w:b/>
          <w:color w:val="1A1A1A"/>
        </w:rPr>
        <w:t>5.3 中断向量分配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中断号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跳板地址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外设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0x10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0x0000010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定时器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定时器比较匹配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0x11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0x0000011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串口接收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数据接收就绪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0x12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0x0000012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串口发送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发送缓冲区空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0x13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0x0000013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GPIO0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GPIO 引脚 0 中断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0x14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0x0000014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GPIO1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GPIO 引脚 1 中断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0x15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0x0000015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存储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存储操作完成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0x16-0x1F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0x0000016-0x000001F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保留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未来扩展</w:t>
            </w:r>
          </w:p>
        </w:tc>
      </w:tr>
    </w:tbl>
    <w:p>
      <w:pPr>
        <w:pStyle w:val="Heading2"/>
      </w:pPr>
      <w:r>
        <w:rPr>
          <w:b/>
          <w:color w:val="1A1A1A"/>
        </w:rPr>
        <w:t>5.4 中断处理流程</w:t>
      </w:r>
    </w:p>
    <w:p>
      <w:pPr>
        <w:jc w:val="left"/>
      </w:pPr>
      <w:r>
        <w:rPr>
          <w:b/>
        </w:rPr>
        <w:t>硬件：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外设拉高 INTR 信号</w:t>
        <w:br/>
        <w:t>中断控制器置位 INT_PENDING 对应位</w:t>
        <w:br/>
        <w:t>中断控制器根据 INT_ENABLE 和 INT_PRIORITY 选出最高优先级中断</w:t>
        <w:br/>
        <w:t>向 CPU 发出中断请求</w:t>
      </w:r>
    </w:p>
    <w:p>
      <w:pPr>
        <w:jc w:val="left"/>
      </w:pPr>
      <w:r>
        <w:rPr>
          <w:b/>
        </w:rPr>
        <w:t>CPU：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当前指令 WB 阶段结束后响应中断</w:t>
        <w:br/>
        <w:t>硬件将当前 R23（异因）压入内核栈</w:t>
        <w:br/>
        <w:t>R23（异因）= 中断号</w:t>
        <w:br/>
        <w:t>硬件将当前 R24（程计）压入内核栈</w:t>
        <w:br/>
        <w:t>程计 = 中断号 × 1（跳转到异常跳板区对应位置）</w:t>
        <w:br/>
        <w:t>硬件置极化 = 阳</w:t>
      </w:r>
    </w:p>
    <w:p>
      <w:pPr>
        <w:jc w:val="left"/>
      </w:pPr>
      <w:r>
        <w:rPr>
          <w:b/>
        </w:rPr>
        <w:t>中断返回：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从内核栈恢复 R24（程计）</w:t>
        <w:br/>
        <w:t>从内核栈恢复 R23（异因）</w:t>
        <w:br/>
        <w:t>继续执行被中断的程序</w:t>
      </w:r>
    </w:p>
    <w:p>
      <w:pPr>
        <w:jc w:val="left"/>
      </w:pPr>
      <w:r>
        <w:t>R23（异因）为系统专用异常原因寄存器。用户程序不应使用 R23。中断响应时硬件自动将旧值压入内核栈，中断返回时恢复。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六、总线仲裁</w:t>
      </w:r>
    </w:p>
    <w:p>
      <w:pPr>
        <w:pStyle w:val="Heading2"/>
      </w:pPr>
      <w:r>
        <w:rPr>
          <w:b/>
          <w:color w:val="1A1A1A"/>
        </w:rPr>
        <w:t>6.1 单主模式</w:t>
      </w:r>
    </w:p>
    <w:p>
      <w:pPr>
        <w:jc w:val="left"/>
      </w:pPr>
      <w:r>
        <w:t>当前太极总线为单主模式，仅 CPU 核心作为总线主设备。所有外设均为从设备。</w:t>
      </w:r>
    </w:p>
    <w:p>
      <w:pPr>
        <w:pStyle w:val="Heading2"/>
      </w:pPr>
      <w:r>
        <w:rPr>
          <w:b/>
          <w:color w:val="1A1A1A"/>
        </w:rPr>
        <w:t>6.2 未来多主扩展</w:t>
      </w:r>
    </w:p>
    <w:p>
      <w:pPr>
        <w:jc w:val="left"/>
      </w:pPr>
      <w:r>
        <w:t>为多核或 DMA 场景预留多主仲裁机制：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多主仲裁信号（预留）:</w:t>
        <w:br/>
        <w:t xml:space="preserve">    BREQ: 总线请求（主设备 → 仲裁器）</w:t>
        <w:br/>
        <w:t xml:space="preserve">    BGRANT: 总线授权（仲裁器 → 主设备）</w:t>
        <w:br/>
        <w:t xml:space="preserve">    BBUSY: 总线忙（当前主设备 → 仲裁器）</w:t>
        <w:br/>
        <w:t>仲裁策略为固定优先级：CPU 核心 &gt; DMA 控制器 &gt; 其他主设备。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七、外设编程模型</w:t>
      </w:r>
    </w:p>
    <w:p>
      <w:pPr>
        <w:pStyle w:val="Heading2"/>
      </w:pPr>
      <w:r>
        <w:rPr>
          <w:b/>
          <w:color w:val="1A1A1A"/>
        </w:rPr>
        <w:t>7.1 外设访问指令</w:t>
      </w:r>
    </w:p>
    <w:p>
      <w:pPr>
        <w:jc w:val="left"/>
      </w:pPr>
      <w:r>
        <w:t>外设访问通过立合形指令完成。指令格式与汇编器规范一致。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指令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格式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输出 基址寄存器, 源寄存器, #偏移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将源寄存器数据写入外设寄存器（基址+偏移）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输入 目标寄存器, 基址寄存器, #偏移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20"/>
              </w:rPr>
              <w:t>从外设寄存器（基址+偏移）读取数据到目标寄存器</w:t>
            </w:r>
          </w:p>
        </w:tc>
      </w:tr>
    </w:tbl>
    <w:p>
      <w:pPr>
        <w:pStyle w:val="Heading2"/>
      </w:pPr>
      <w:r>
        <w:rPr>
          <w:b/>
          <w:color w:val="1A1A1A"/>
        </w:rPr>
        <w:t>7.2 外设编程示例</w:t>
      </w:r>
    </w:p>
    <w:p>
      <w:pPr>
        <w:jc w:val="left"/>
      </w:pPr>
      <w:r>
        <w:rPr>
          <w:b/>
        </w:rPr>
        <w:t>串口初始化：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; 串口初始化</w:t>
        <w:br/>
        <w:t xml:space="preserve">    传送 参一, #0xFFFF100     ; 串口基址</w:t>
        <w:br/>
        <w:t xml:space="preserve">    传送 参二, #115200        ; 波特率</w:t>
        <w:br/>
        <w:t xml:space="preserve">    输出 参一, 参二, #3       ; 写入 UART_BAUD (偏移3)</w:t>
        <w:br/>
        <w:t xml:space="preserve">    传送 参二, #阳阳阳太极太极太极太极太极  ; RX_EN, TX_EN, RX_INT_EN</w:t>
        <w:br/>
        <w:t xml:space="preserve">    输出 参一, 参二, #2       ; 写入 UART_CTRL (偏移2)</w:t>
      </w:r>
    </w:p>
    <w:p>
      <w:pPr>
        <w:jc w:val="left"/>
      </w:pPr>
      <w:r>
        <w:rPr>
          <w:b/>
        </w:rPr>
        <w:t>发送字符：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; 发送字符</w:t>
        <w:br/>
        <w:t xml:space="preserve">    传送 参二, #65            ; ASCII 'A'</w:t>
        <w:br/>
        <w:t xml:space="preserve">    输出 参一, 参二, #0       ; 写入 UART_DATA (偏移0)</w:t>
      </w:r>
    </w:p>
    <w:p>
      <w:pPr>
        <w:jc w:val="left"/>
      </w:pPr>
      <w:r>
        <w:rPr>
          <w:b/>
        </w:rPr>
        <w:t>读取接收数据：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; 读取接收数据</w:t>
        <w:br/>
        <w:t xml:space="preserve">    输入 返零, 参一, #0       ; 读取 UART_DATA (偏移0)</w:t>
      </w:r>
    </w:p>
    <w:p>
      <w:pPr>
        <w:pStyle w:val="Heading2"/>
      </w:pPr>
      <w:r>
        <w:rPr>
          <w:b/>
          <w:color w:val="1A1A1A"/>
        </w:rPr>
        <w:t>7.3 中断服务程序示例</w:t>
      </w:r>
    </w:p>
    <w:p>
      <w:pPr>
        <w:jc w:val="left"/>
        <w:shd w:val="clear" w:color="auto" w:fill="1F1F1F"/>
      </w:pPr>
      <w:r>
        <w:rPr>
          <w:rFonts w:ascii="Consolas" w:hAnsi="Consolas" w:eastAsia="Consolas"/>
          <w:color w:val="FFFFFF"/>
          <w:sz w:val="18"/>
        </w:rPr>
        <w:t>; 串口接收中断服务程序</w:t>
        <w:br/>
        <w:t>; 跳板地址 0x0000011 处放置: 跳转 串口_ISR</w:t>
        <w:br/>
        <w:t>串口_ISR:</w:t>
        <w:br/>
        <w:t xml:space="preserve">    传送 参一, #0xFFFF100     ; 串口基址</w:t>
        <w:br/>
        <w:t xml:space="preserve">    输入 返零, 参一, #0       ; 读取接收数据</w:t>
        <w:br/>
        <w:t xml:space="preserve">    压栈 返零                 ; 保存数据</w:t>
        <w:br/>
        <w:t xml:space="preserve">    返回</w:t>
      </w:r>
    </w:p>
    <w:p>
      <w:r>
        <w:br w:type="page"/>
      </w:r>
    </w:p>
    <w:p>
      <w:pPr>
        <w:pStyle w:val="Heading1"/>
      </w:pPr>
      <w:r>
        <w:rPr>
          <w:b/>
          <w:color w:val="1A1A1A"/>
        </w:rPr>
        <w:t>八、文档信息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规范名称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太极总线与外设接口规范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版本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正式发布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指令集基础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太极指令集架构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微架构基础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太极微架构 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总线类型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三进制统一编址总线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总线宽度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地址 27 trit / 数据 27 trit / 控制 3 trit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握手机制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三线握手（CTRL命令 + ACK应答）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异常入口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北极段前 256 极字跳板区（0x0000000-0x00000FF）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程序入口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0x0000100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外设地址空间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南极段高 256K 极字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中断模型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硬件跳板分发 + R23/R24 自动压栈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总线模式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单主模式（预留多主扩展）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编制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玄同工作室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日期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20"/>
              </w:rPr>
              <w:t>2026-07-02</w:t>
            </w:r>
          </w:p>
        </w:tc>
      </w:tr>
    </w:tbl>
    <w:p/>
    <w:p>
      <w:pPr>
        <w:jc w:val="center"/>
      </w:pPr>
      <w:r>
        <w:rPr>
          <w:color w:val="888888"/>
          <w:sz w:val="20"/>
        </w:rPr>
        <w:t>© 2026 玄同工作室。太极总线与外设接口基于太极指令集架构设计，为太极模拟器提供完整的外设连接标准。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