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534AB7"/>
          <w:sz w:val="48"/>
          <w:szCs w:val="48"/>
        </w:rPr>
        <w:t xml:space="preserve">阶级跃迁作战手册</w:t>
      </w:r>
    </w:p>
    <w:p>
      <w:pPr>
        <w:spacing w:before="300"/>
        <w:jc w:val="center"/>
      </w:pPr>
      <w:r>
        <w:rPr>
          <w:rFonts w:ascii="Microsoft YaHei" w:cs="Microsoft YaHei" w:eastAsia="Microsoft YaHei" w:hAnsi="Microsoft YaHei"/>
          <w:color w:val="5F5E5A"/>
          <w:sz w:val="24"/>
          <w:szCs w:val="24"/>
        </w:rPr>
        <w:t xml:space="preserve">五牌引爆模型 · 三年作战节奏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i/>
          <w:iCs/>
          <w:color w:val="854F0B"/>
          <w:sz w:val="22"/>
          <w:szCs w:val="22"/>
        </w:rPr>
        <w:t xml:space="preserve">“经济资本是火药，不是存粮”</w:t>
      </w:r>
    </w:p>
    <w:p>
      <w:pPr>
        <w:spacing w:before="800"/>
        <w:jc w:val="center"/>
      </w:pPr>
      <w:r>
        <w:rPr>
          <w:rFonts w:ascii="Microsoft YaHei" w:cs="Microsoft YaHei" w:eastAsia="Microsoft YaHei" w:hAnsi="Microsoft YaHei"/>
          <w:color w:val="5F5E5A"/>
          <w:sz w:val="20"/>
          <w:szCs w:val="20"/>
        </w:rPr>
        <w:t xml:space="preserve">2026年5月 · 第二版（引爆模型）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534AB7"/>
          <w:sz w:val="32"/>
          <w:szCs w:val="32"/>
        </w:rPr>
        <w:t xml:space="preserve">核心逻辑：从排队到引爆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5F5E5A"/>
          <w:sz w:val="21"/>
          <w:szCs w:val="21"/>
        </w:rPr>
        <w:t xml:space="preserve">上一版规划的致命问题：每一步都在等别人给你盖章。在职博士等学历，等专家库开门，等领导批示内参。你的经济资本完全没被用到。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5F5E5A"/>
          <w:sz w:val="21"/>
          <w:szCs w:val="21"/>
        </w:rPr>
        <w:t xml:space="preserve">这一版的底层算法：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2C2C2A"/>
          <w:sz w:val="21"/>
          <w:szCs w:val="21"/>
        </w:rPr>
        <w:t xml:space="preserve">经济资本 → 事件爆点 → 全网注意力 → 社会资本 → 象征资本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5F5E5A"/>
          <w:sz w:val="21"/>
          <w:szCs w:val="21"/>
        </w:rPr>
        <w:t xml:space="preserve">你不是在任何体系里排队，你是自己造一个体系让别人来排。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A32D2D"/>
          <w:sz w:val="21"/>
          <w:szCs w:val="21"/>
        </w:rPr>
        <w:t xml:space="preserve">操作边界：可以争议，不能失信。可以冒犯观念，不能冒犯底线。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5F5E5A"/>
          <w:sz w:val="21"/>
          <w:szCs w:val="21"/>
        </w:rPr>
        <w:t xml:space="preserve">你走的是“治理”赛道，核心资产是信任，不是注意力。孙宇晨可以黑红也是红，你不行。但如果你能做到“争议但可信”，你的护城河比孙宇晨深十倍。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D3D1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534AB7"/>
          <w:sz w:val="32"/>
          <w:szCs w:val="32"/>
        </w:rPr>
        <w:t xml:space="preserve">牌一：炸弹书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为什么是书？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5F5E5A"/>
          <w:sz w:val="21"/>
          <w:szCs w:val="21"/>
        </w:rPr>
        <w:t xml:space="preserve">书是所有内容形式中唯一能同时完成三件事的：建立权威、制造争议、跨圈传播。论文只能建权威，短视频只能传播，只有书能三个都做到。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5F5E5A"/>
          <w:sz w:val="21"/>
          <w:szCs w:val="21"/>
        </w:rPr>
        <w:t xml:space="preserve">参考案例：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张维为《中国震撼》——从学者变国师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陆铭《大国大城》——从教授变公共知识分子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何帆《变量》——从经济学家变年度IP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你的独特角度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5F5E5A"/>
          <w:sz w:val="21"/>
          <w:szCs w:val="21"/>
        </w:rPr>
        <w:t xml:space="preserve">你是中国唯一一个既在华为干过政企云、又在教大学、又在读MPA、还深谙权谋史观的人。这不是拼凑，这是世界上最稀缺的交叉视角。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书名方向（待定）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《算法之治》——当权力交给代码，谁在真正治理中国？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《数字利维坦》——一个前华为人的治理观察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《云端上的权力》——技术官僚的时代已经来了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A32D2D"/>
          <w:sz w:val="21"/>
          <w:szCs w:val="21"/>
        </w:rPr>
        <w:t xml:space="preserve">关键原则：面向大众写，不面向学术圈写。有学术底子但用叙事驱动。引发争议比追求正确重要一万倍。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执行节奏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时间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任务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交付物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2026 Q3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确定书名+大纲+前3章初稿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书稿框架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2026 Q4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完成全稿+联系出版社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全稿+约稿函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2027 Q1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修改+封面+宣传策略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定稿+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2027 Q2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出版+全网营销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上架发售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资源需求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撰稿时间：每天至少 3 小时纯写作时间，6个月内完稿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约稿预算：5-10万元（如果找不到顶级出版社，自费出版也无妨，书本身是广告，不是商品）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营销预算：10-20万元（线上投放+媒体约稿+新书发布会）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风险与对冲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风险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概率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对冲方案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书没引起转发/争议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中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主动制造争议点：在知乎/微博投放争议性观点，引战再应战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内容敏感触发审查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低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避开具体人名/机构，用“某地政府”“某厂商”替代；叙事而非论断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华为/电信履历纠纷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低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书中不直接抛具体项目信息，用“行业观察”角度</w:t>
            </w:r>
          </w:p>
        </w:tc>
      </w:tr>
    </w:tbl>
    <w:p>
      <w:pPr>
        <w:spacing w:after="200" w:before="200"/>
      </w:pPr>
      <w:r>
        <w:rPr>
          <w:rFonts w:ascii="Microsoft YaHei" w:cs="Microsoft YaHei" w:eastAsia="Microsoft YaHei" w:hAnsi="Microsoft YaHei"/>
          <w:color w:val="D3D1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534AB7"/>
          <w:sz w:val="32"/>
          <w:szCs w:val="32"/>
        </w:rPr>
        <w:t xml:space="preserve">牌二：办论坛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为什么不是参加别人的论坛？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5F5E5A"/>
          <w:sz w:val="21"/>
          <w:szCs w:val="21"/>
        </w:rPr>
        <w:t xml:space="preserve">专家库：你是一个被选中的名字，排在第47位。论坛发起人：你是让所有人聚在一起的人。达沃斯就是这么运作的。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具体操作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4AB7"/>
          <w:sz w:val="22"/>
          <w:szCs w:val="22"/>
        </w:rPr>
        <w:t xml:space="preserve">定位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名称：中国数字治理峰会（或“数字治理·成都宣言”等，待定）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地点：成都（你的主场，也是西部数字经济标杆城市）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规模：首届 150-200 人，不求大而求精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4AB7"/>
          <w:sz w:val="22"/>
          <w:szCs w:val="22"/>
        </w:rPr>
        <w:t xml:space="preserve">关键嘉宾策略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5F5E5A"/>
          <w:sz w:val="21"/>
          <w:szCs w:val="21"/>
        </w:rPr>
        <w:t xml:space="preserve">你不是去请人，你是用钱买“共同发起人”身份。关键是让对方觉得“我不来会错过什么”，而不是“我给这个人面子”。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嘉宾类型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人数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作用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费用预估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省部级退休官员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1-2人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赋予政策合法性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车马费+住宿 3-5万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知名学者（数字治理/公共管理）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2-3人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提升学术分量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车马费+住宿 2-3万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互联网大厂 CSO/CTO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1-2人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提升产业分量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车马费+住宿 2-3万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媒体嘉宾（财经/时政媒体）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3-5人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内容传播保障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车马费 1-2万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4AB7"/>
          <w:sz w:val="22"/>
          <w:szCs w:val="22"/>
        </w:rPr>
        <w:t xml:space="preserve">你的角色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发起人 + 主持人，全程主持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发表主旨演讲，正式确立“数字治理实战派”的学术身份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发布《四川数字治理发展报告》，让媒体自动来报道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执行节奏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时间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任务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2026 Q4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确定论坛定位/名称/规模，开始接洽嘉宾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2027 Q1-Q2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嘉宾确认+议程设计+场地确定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2027 Q3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首届论坛落地，同步全网直播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2028+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第二届起开始引入赞助商/政府合作，降低自费比例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预算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首届总投入：30-50万元（含场地/嘉宾/宣传/直播）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第二届起：引入赞助商后降至 10-20万自费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F6E56"/>
          <w:sz w:val="21"/>
          <w:szCs w:val="21"/>
        </w:rPr>
        <w:t xml:space="preserve">这笔钱不是花费，是买“论坛发起人”这个身份。张维为创办“中国模式”论坛的时候，也是这个逻辑。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D3D1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534AB7"/>
          <w:sz w:val="32"/>
          <w:szCs w:val="32"/>
        </w:rPr>
        <w:t xml:space="preserve">牌三：现象级IP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为什么不是公众号？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5F5E5A"/>
          <w:sz w:val="21"/>
          <w:szCs w:val="21"/>
        </w:rPr>
        <w:t xml:space="preserve">公众号是2015年的打法，现在打开率2%。你要做的IP是有强烈人格的短视频/播客。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你的赛道空无一人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5F5E5A"/>
          <w:sz w:val="21"/>
          <w:szCs w:val="21"/>
        </w:rPr>
        <w:t xml:space="preserve">“一个真懂技术的教授讲权力和治理”——这个赛道现在没有人占。纯学者不懂技术细节，纯技术人不懂权力逻辑，你两个都懂。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参考标杆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标杆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赛道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你的差异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罗翔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刑法普法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你的赛道是数字治理，更具时代性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半佛仙人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商业调查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你有学术底子+政策视角，他没有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温义飞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经济评论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你有技术实战+历史纵深，他没有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内容方向举例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“为什么你的健康码说绿就绿说黄就黄？底层技术拆解”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“数字政府的真相：我在华为看到的那些项目”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“从秦朝郡县制到数字政务：两千年的治理升级”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“AI治理的终极问题：谁来监督监督者？”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平台策略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平台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优先级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内容形式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更新频率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抖音/视频号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最高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短视频 1-3 分钟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每周 3-5 条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小宇宙/博客来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高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长视频/播客 15-30 分钟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每周 1 期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知乎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中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长文深度分析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每周 1-2 篇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微博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中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热点评论+争议引战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每日 1-3 条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A32D2D"/>
          <w:sz w:val="21"/>
          <w:szCs w:val="21"/>
        </w:rPr>
        <w:t xml:space="preserve">关键原则：前3个月不追粉丝数，追内容颗粒度。内容沉淀完成后再启动投放。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执行节奏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时间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任务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2026 Q3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开账+前10期内容储备+拍摄设备到位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2026 Q4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正式开播，每周 3 条短视频 + 1 期播客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2027 Q1-Q2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内容优化+投放策略，目标粉丝 5万+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2027 Q3-Q4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结合书的出版做联动营销，目标 20万+</w:t>
            </w:r>
          </w:p>
        </w:tc>
      </w:tr>
    </w:tbl>
    <w:p>
      <w:pPr>
        <w:spacing w:after="200" w:before="200"/>
      </w:pPr>
      <w:r>
        <w:rPr>
          <w:rFonts w:ascii="Microsoft YaHei" w:cs="Microsoft YaHei" w:eastAsia="Microsoft YaHei" w:hAnsi="Microsoft YaHei"/>
          <w:color w:val="D3D1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534AB7"/>
          <w:sz w:val="32"/>
          <w:szCs w:val="32"/>
        </w:rPr>
        <w:t xml:space="preserve">牌四：国际身份叠加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为什么不是在职博士？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方案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含金量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时间成本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圈层穿透力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马来西亚在职博士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近乎为零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3-5年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无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澳门在职博士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微弱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3-5年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极低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顶级高校访问学者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中高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6-12个月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强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放弃博士，全力做前四件事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N/A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省3-5年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最强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5F5E5A"/>
          <w:sz w:val="21"/>
          <w:szCs w:val="21"/>
        </w:rPr>
        <w:t xml:space="preserve">孙宇晨成为格林纳达驻WTO大使，你以为他真关心外交？他在意的是“大使”这个title对其他所有身份的加成。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具体路径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534AB7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申请斯坦福/牛津/剑桥等顶级高校的访问学者（visiting scholar），不是去读博士，是去待 6-12 个月。门槛比博士低得多，但身份信号强一百倍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534AB7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用访问学者身份进入国际会议圈，发表英文论文/演讲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534AB7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以“中国数字治理专家”身份给国际组织（UNDP/世界银行）做咨询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b/>
          <w:bCs/>
          <w:color w:val="534AB7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回头在国内的title就是“斯坦福访问学者+国际组织顾问”——这个标签的杀伤力，不是在职博士能比的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操作要点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访问学者申请关键：有明确研究计划+接收教授愿意。你的书就是最好的研究计划说明书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时间窗口：书出版后立即申请，2027年Q3前拿到offer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费用：访问学者通常无薪或微薪，你的经济底盘完全能撑住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D3D1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534AB7"/>
          <w:sz w:val="32"/>
          <w:szCs w:val="32"/>
        </w:rPr>
        <w:t xml:space="preserve">牌五：造一个产品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为什么最后一张牌最狠？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5F5E5A"/>
          <w:sz w:val="21"/>
          <w:szCs w:val="21"/>
        </w:rPr>
        <w:t xml:space="preserve">周涛、杨澜做到最后，都是平台——她们不是在台上说话，她们是造台子让别人说话。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2C2C2A"/>
          <w:sz w:val="21"/>
          <w:szCs w:val="21"/>
        </w:rPr>
        <w:t xml:space="preserve">造台子的人 &gt; 在台子上说话的人 &gt; 排队等上台的人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产品方向（三选一）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4AB7"/>
          <w:sz w:val="22"/>
          <w:szCs w:val="22"/>
        </w:rPr>
        <w:t xml:space="preserve">方案A：政府数字化成熟度评估系统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把你华为+电信的行业理解产品化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SaaS工具，卖给地方政府做自评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优势：你有行业内幕，竞争者没有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4AB7"/>
          <w:sz w:val="22"/>
          <w:szCs w:val="22"/>
        </w:rPr>
        <w:t xml:space="preserve">方案B：AI辅助政策分析平台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把你MPA+技术的交叉点变成产品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输入政策文件，自动拆解影响、利益相关方、历史先例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优势：时代性最强，容易融资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4AB7"/>
          <w:sz w:val="22"/>
          <w:szCs w:val="22"/>
        </w:rPr>
        <w:t xml:space="preserve">方案C：“数字治理指数”排行榜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每年发布，媒体自动来报道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轻量级，不需要开发能力，只需要研究能力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优势：最容易启动，且每年自动产生一次全国性曝光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F6E56"/>
          <w:sz w:val="21"/>
          <w:szCs w:val="21"/>
        </w:rPr>
        <w:t xml:space="preserve">建议：先做C（指数排行榜）起步，最轻最快。如果能找到技术合伙人，同步启动B。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执行节奏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时间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任务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2027 Q3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启动“数字治理指数”研究，收集数据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2028 Q1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发布首期指数报告，媒体自动报道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2028 Q2-Q4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评估是否启动方案B（AI政策分析平台）</w:t>
            </w:r>
          </w:p>
        </w:tc>
      </w:tr>
    </w:tbl>
    <w:p>
      <w:pPr>
        <w:spacing w:after="200" w:before="200"/>
      </w:pPr>
      <w:r>
        <w:rPr>
          <w:rFonts w:ascii="Microsoft YaHei" w:cs="Microsoft YaHei" w:eastAsia="Microsoft YaHei" w:hAnsi="Microsoft YaHei"/>
          <w:color w:val="D3D1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534AB7"/>
          <w:sz w:val="32"/>
          <w:szCs w:val="32"/>
        </w:rPr>
        <w:t xml:space="preserve">三年作战总览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时间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牌一→书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牌二→论坛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牌三→IP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牌四→国际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牌五→产品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2026 Q3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确定书名+开写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定位研究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开账+储备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—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2026 Q4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全稿完成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嘉宾接洽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正式开播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—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2027 Q1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修改+封面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议程设计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内容优化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申请访问学者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—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2027 Q2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出版+全网营销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联动营销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拿到offer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—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2027 Q3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首届论坛落地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指数研究启动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2027 Q4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出国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—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2028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再版/新书规划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第二届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稳定运营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国际发声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发布指数/评估B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2029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品牌化运作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回国身份升维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产品化落地</w:t>
            </w:r>
          </w:p>
        </w:tc>
      </w:tr>
    </w:tbl>
    <w:p>
      <w:pPr>
        <w:spacing w:after="200" w:before="200"/>
      </w:pPr>
      <w:r>
        <w:rPr>
          <w:rFonts w:ascii="Microsoft YaHei" w:cs="Microsoft YaHei" w:eastAsia="Microsoft YaHei" w:hAnsi="Microsoft YaHei"/>
          <w:color w:val="D3D1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534AB7"/>
          <w:sz w:val="32"/>
          <w:szCs w:val="32"/>
        </w:rPr>
        <w:t xml:space="preserve">总预算概览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牌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首年投入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第二年投入</w:t>
            </w:r>
          </w:p>
        </w:tc>
        <w:tc>
          <w:tcPr>
            <w:shd w:color="EEEDFE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34AB7"/>
                <w:sz w:val="19"/>
                <w:szCs w:val="19"/>
              </w:rPr>
              <w:t xml:space="preserve">第三年投入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牌一：书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15-25万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5万（营销延续）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5万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牌二：论坛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30-50万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10-20万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10-20万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牌三：IP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5-10万（设备+制作）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5-10万（投放）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5-10万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牌四：国际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15-25万（访问学者期间）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10万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牌五：产品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20-50万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合计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50-85万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35-60万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F5E5A"/>
                <w:sz w:val="19"/>
                <w:szCs w:val="19"/>
              </w:rPr>
              <w:t xml:space="preserve">50-95万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5F5E5A"/>
          <w:sz w:val="21"/>
          <w:szCs w:val="21"/>
        </w:rPr>
        <w:t xml:space="preserve">三年总投入约 135-240 万元。你说你现金充裕，这个数字应该不是问题。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D3D1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534AB7"/>
          <w:sz w:val="32"/>
          <w:szCs w:val="32"/>
        </w:rPr>
        <w:t xml:space="preserve">决策规则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何时加注，何时止损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书如果出版 6 个月销量不过 3000 册，不追加印刷，转入短视频内容归库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论坛如果首届到场不足 80 人，不办第二届，改为线上峰会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IP如果 6 个月粉丝不过 1 万，调整内容方向而非增加投放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color w:val="534AB7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5F5E5A"/>
          <w:sz w:val="21"/>
          <w:szCs w:val="21"/>
        </w:rPr>
        <w:t xml:space="preserve">访问学者如果两轮申请都被拒，降级到亚洲顶级高校（新加坡国立/港大）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C2C2A"/>
          <w:sz w:val="26"/>
          <w:szCs w:val="26"/>
        </w:rPr>
        <w:t xml:space="preserve">绝对不做的事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A32D2D"/>
          <w:sz w:val="21"/>
          <w:szCs w:val="21"/>
        </w:rPr>
        <w:t xml:space="preserve">1. 不要读在职博士。三年时间花在上述五件事上，回报高一个数量级。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A32D2D"/>
          <w:sz w:val="21"/>
          <w:szCs w:val="21"/>
        </w:rPr>
        <w:t xml:space="preserve">2. 不要申报专家库。你是要让别人进你的库，不是进别人的库。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A32D2D"/>
          <w:sz w:val="21"/>
          <w:szCs w:val="21"/>
        </w:rPr>
        <w:t xml:space="preserve">3. 不要发CSSCI论文。写给全国看的书，不写给五个评审看的论文。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A32D2D"/>
          <w:sz w:val="21"/>
          <w:szCs w:val="21"/>
        </w:rPr>
        <w:t xml:space="preserve">4. 不要开公众号。短视频+播客+知乎，才是2026年的打法。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D3D1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534AB7"/>
          <w:sz w:val="32"/>
          <w:szCs w:val="32"/>
        </w:rPr>
        <w:t xml:space="preserve">最后一句话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5F5E5A"/>
          <w:sz w:val="21"/>
          <w:szCs w:val="21"/>
        </w:rPr>
        <w:t xml:space="preserve">你现在最大的资产不是技术能力，不是学历，不是山东的人脉——是用经济资本购买时间和注意力的能力。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5F5E5A"/>
          <w:sz w:val="21"/>
          <w:szCs w:val="21"/>
        </w:rPr>
        <w:t xml:space="preserve">别人愁钱，你直接用钱换时间换圈层。这个优势不要浪费在排队上。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2C2C2A"/>
          <w:sz w:val="21"/>
          <w:szCs w:val="21"/>
        </w:rPr>
        <w:t xml:space="preserve">经济资本是火药，不是存粮。火药要用来引爆，不是用来存着。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2026-05-30T11:52:28.931Z</dcterms:created>
  <dcterms:modified xsi:type="dcterms:W3CDTF">2026-05-30T11:52:28.932Z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