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56"/>
          <w:szCs w:val="56"/>
        </w:rPr>
        <w:t xml:space="preserve">阶级跃迁战略规划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B7280"/>
          <w:sz w:val="28"/>
          <w:szCs w:val="28"/>
        </w:rPr>
        <w:t xml:space="preserve">—— 从高校讲师到公共影响力人物的路径设计</w:t>
      </w:r>
    </w:p>
    <w:p>
      <w:pPr>
        <w:spacing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基于 Bourdieu 资本转换理论 · 三阶段跃迁框架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2026年5月 · 成都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一、个人现状全景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1.1 基础信息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出生年份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1988年（现38岁）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定居城市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成都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第一学历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西南交通大学 本科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在读学历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0"/>
                <w:szCs w:val="20"/>
              </w:rPr>
              <w:t xml:space="preserve">MPA（公共管理硕士）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远期规划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0"/>
                <w:szCs w:val="20"/>
              </w:rPr>
              <w:t xml:space="preserve">澳门/马来西亚在职博士（数字治理/教育治理）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现职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成都东软学院 高校讲师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从业年限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14年（华为 + 中国电信 + 高校）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经济状况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有房有车无贷 · 现金充裕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1.2 四类资本现状（Bourdieu 框架）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阶级跃迁的本质不是“赚更多钱”，而是四种资本的系统性转换。周涛、杨澜之所以能跨越阶层，核心机制是：利用平台获得的象征资本，反向撬动社会资本和经济资本，形成正反馈。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180"/>
        <w:gridCol w:w="318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资本类型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当前水平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现状说明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战略含义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经济资本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7AE6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8"/>
                <w:szCs w:val="18"/>
              </w:rPr>
              <w:t xml:space="preserve">有房有车无贷，现金充裕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8"/>
                <w:szCs w:val="18"/>
              </w:rPr>
              <w:t xml:space="preserve">可承受长期投入，用钱换时间换地位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0"/>
                <w:szCs w:val="20"/>
              </w:rPr>
              <w:t xml:space="preserve">文化资本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8"/>
                <w:szCs w:val="18"/>
              </w:rPr>
              <w:t xml:space="preserve">MPA在读，本科出身待补，博士未启动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18"/>
                <w:szCs w:val="18"/>
              </w:rPr>
              <w:t xml:space="preserve">学历门槛是最大瓶颈，但路径已清晰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0"/>
                <w:szCs w:val="20"/>
              </w:rPr>
              <w:t xml:space="preserve">社会资本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E67E22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8"/>
                <w:szCs w:val="18"/>
              </w:rPr>
              <w:t xml:space="preserve">高校/IT圈，未切入省级智库/行政圈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18"/>
                <w:szCs w:val="18"/>
              </w:rPr>
              <w:t xml:space="preserve">圈层是跃迁的核心杠杆，当前最薄弱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象征资本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C0392B"/>
                <w:sz w:val="20"/>
                <w:szCs w:val="20"/>
              </w:rPr>
              <w:t xml:space="preserve">★☆☆☆☆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8"/>
                <w:szCs w:val="18"/>
              </w:rPr>
              <w:t xml:space="preserve">无公共影响力，无媒体/智库品牌背书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这是周涛杨澜的核心差异，也最难</w:t>
            </w:r>
          </w:p>
        </w:tc>
      </w:tr>
    </w:tbl>
    <w:p>
      <w:pPr>
        <w:spacing w:after="100" w:before="20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6B7280"/>
          <w:sz w:val="21"/>
          <w:szCs w:val="21"/>
        </w:rPr>
        <w:t xml:space="preserve">周涛路径：央视平台（文化→象征）→ 青春有饭局（象征→社会）→ 文化产业（社会→经济）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6B7280"/>
          <w:sz w:val="21"/>
          <w:szCs w:val="21"/>
        </w:rPr>
        <w:t xml:space="preserve">杨澜路径：央视（文化→象征）→ 阳光卫视（象征→经济+社会）→ 达沃斯/慈善（社会→象征↑）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你的路径：经济→文化（MPA/博士）→ 社会（智库/专家库）→ 象征（公共话语权）→ 正反馈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二、核心优势与战略杠杆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2.1 四大优势的杠杆转化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优势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杠杆转化方式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具体操作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复合型赛道稀缺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成为“数字治理”领域唯一懂技术+懂政策的人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8"/>
                <w:szCs w:val="18"/>
              </w:rPr>
              <w:t xml:space="preserve">省级智库缺的就是这种人——纯文科不懂技术，纯工科不懂政策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高校教职身份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用教职申报省级课题+进入专家库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8"/>
                <w:szCs w:val="18"/>
              </w:rPr>
              <w:t xml:space="preserve">专家库不看985/211，看职称+课题经历——这是你的窗口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华为/电信实战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用实战案例做政策研究，碾压纯文献派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8"/>
                <w:szCs w:val="18"/>
              </w:rPr>
              <w:t xml:space="preserve">别人写论文靠引用，你写论文靠亲身经历——信度碾压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经济底座稳固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自费做课题、自费出书、自费参访海外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8"/>
                <w:szCs w:val="18"/>
              </w:rPr>
              <w:t xml:space="preserve">很多课题需要配套经费——别人愁钱，你直接用钱换时间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2.2 三大短板的要害分析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短板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具体表现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危害等级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对冲策略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任教院校层级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8"/>
                <w:szCs w:val="18"/>
              </w:rPr>
              <w:t xml:space="preserve">东软学院为民办二本，存在出身偏见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C0392B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8"/>
                <w:szCs w:val="18"/>
              </w:rPr>
              <w:t xml:space="preserve">海外博士补位+课题成果覆盖出身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履历空白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8"/>
                <w:szCs w:val="18"/>
              </w:rPr>
              <w:t xml:space="preserve">无体制内政策调研、核心文稿起草经历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C0392B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8"/>
                <w:szCs w:val="18"/>
              </w:rPr>
              <w:t xml:space="preserve">用MPA课题作为首次突破口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人脉圈层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8"/>
                <w:szCs w:val="18"/>
              </w:rPr>
              <w:t xml:space="preserve">未对接省级决策咨询、高端智库圈子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C0392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8"/>
                <w:szCs w:val="18"/>
              </w:rPr>
              <w:t xml:space="preserve">先通过课题合作破圈，再用成果撬动圈层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三、三阶段跃迁路径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Phase 1：夯基（1-2年）—— 资本转换：经济→文化+社会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核心目标：拿到省级专家库入场券，完成从“教师”到“专家”的身份转换。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4"/>
          <w:szCs w:val="24"/>
        </w:rPr>
        <w:t xml:space="preserve">学术线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MPA论文选题锁定“四川省数字政府建设现状与路径研究”，以优秀等级毕业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在读期间发表2-3篇核心期刊/CSSCI政策论文，主题围绕“数字治理+地方实践”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利用华为/电信的政企云项目经历，将实战案例转化为政策研究素材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4"/>
          <w:szCs w:val="24"/>
        </w:rPr>
        <w:t xml:space="preserve">圈层线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通过MPA同学圈（体制内中块力量）建立首批省级部门关系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主动申报四川省科技厅/大数据局的数字政府专家库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在川大/电科大做1次以上学术分享，建立首批学术圈联系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以“数字治理”为关键词，主动参与省级冶6次以上政策论坛/研讨会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4"/>
          <w:szCs w:val="24"/>
        </w:rPr>
        <w:t xml:space="preserve">媒体线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开设公众号/抖音账号，定位“数字治理观察”，每周发2条政策解读短视频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结合AI编程内容经验，做“AI+政府”交叉视角内容，形成差异化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关键里程碑：拿到省级专家库入场券 + 第一份内参/政策建议获批示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Phase 2：破圈（3-5年）—— 资本转换：文化+社会→象征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核心目标：从“专家”达成“公共知识分子”，获得媒体和智库的双重背书。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4"/>
          <w:szCs w:val="24"/>
        </w:rPr>
        <w:t xml:space="preserve">学术线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启动澳门/马来西亚在职博士，方向锁定数字治理/教育治理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博士论文选题紧扣“四川数字治理实践”，为后续智库入职铺路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4"/>
          <w:szCs w:val="24"/>
        </w:rPr>
        <w:t xml:space="preserve">圈层线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参与省级决策咨询课题，积累3份以上内参成果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从“专家库成员”升级为“课题负责人”，主持省级数字治理相关课题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建立与四川省委政策研究室、省科协智库的常态化合作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4"/>
          <w:szCs w:val="24"/>
        </w:rPr>
        <w:t xml:space="preserve">媒体线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成为四川卫视/成都电视台数字政策解读嘉宾，首次电视出镜是象征资本的跳跃点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个人IP从“AI编程”向“数字治理评论员”转型，内容质感升级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发布《四川数字治理年度观察报告》，树立行业标杆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关键里程碑：首次电视/论坛出镜 + 博士录取 + 内参获批示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Phase 3：升维（5-10年）—— 资本转换：象征→全部资本正反馈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核心目标：成为四川省数字治理领域 Top5 公众人物，实现象征资本对其他资本的正向撬动。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博士毕业，冲击公办高校/省级智库研究员岗位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主笔省级数字治理规划/白皮书，成为政策话语引领者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主持高端论坛/峰会，成为“数字治理”领域第一联想人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创办智库/研究院或进入省级决策咨询委员会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跨域拓展：从数字治理延伸到教育治理、城市治理，成为“治理”类公共知识分子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关键里程碑：成为四川省数字治理领域 Top5 公众人物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四、关键行动时间表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960"/>
        <w:gridCol w:w="2200"/>
        <w:gridCol w:w="160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行动事项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截止时间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MPA论文开题：四川省数字政府建设研究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280"/>
                <w:sz w:val="18"/>
                <w:szCs w:val="18"/>
              </w:rPr>
              <w:t xml:space="preserve">2026 Q3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280"/>
                <w:sz w:val="18"/>
                <w:szCs w:val="18"/>
              </w:rPr>
              <w:t xml:space="preserve">待启动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首篇CSSCI政策论文投稿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280"/>
                <w:sz w:val="18"/>
                <w:szCs w:val="18"/>
              </w:rPr>
              <w:t xml:space="preserve">2026 Q4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280"/>
                <w:sz w:val="18"/>
                <w:szCs w:val="18"/>
              </w:rPr>
              <w:t xml:space="preserve">待启动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申报四川省数字政府专家库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280"/>
                <w:sz w:val="18"/>
                <w:szCs w:val="18"/>
              </w:rPr>
              <w:t xml:space="preserve">2027 Q1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280"/>
                <w:sz w:val="18"/>
                <w:szCs w:val="18"/>
              </w:rPr>
              <w:t xml:space="preserve">待启动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开设“数字治理观察”公众号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280"/>
                <w:sz w:val="18"/>
                <w:szCs w:val="18"/>
              </w:rPr>
              <w:t xml:space="preserve">2026 Q3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280"/>
                <w:sz w:val="18"/>
                <w:szCs w:val="18"/>
              </w:rPr>
              <w:t xml:space="preserve">待启动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参与首个省级政策论坛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280"/>
                <w:sz w:val="18"/>
                <w:szCs w:val="18"/>
              </w:rPr>
              <w:t xml:space="preserve">2027 Q2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280"/>
                <w:sz w:val="18"/>
                <w:szCs w:val="18"/>
              </w:rPr>
              <w:t xml:space="preserve">待启动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启动澳门/马来博士申请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280"/>
                <w:sz w:val="18"/>
                <w:szCs w:val="18"/>
              </w:rPr>
              <w:t xml:space="preserve">2027 Q4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280"/>
                <w:sz w:val="18"/>
                <w:szCs w:val="18"/>
              </w:rPr>
              <w:t xml:space="preserve">待启动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发布首份内参/政策建议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280"/>
                <w:sz w:val="18"/>
                <w:szCs w:val="18"/>
              </w:rPr>
              <w:t xml:space="preserve">2028 Q2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280"/>
                <w:sz w:val="18"/>
                <w:szCs w:val="18"/>
              </w:rPr>
              <w:t xml:space="preserve">待启动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首次电视台政策解读出镜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280"/>
                <w:sz w:val="18"/>
                <w:szCs w:val="18"/>
              </w:rPr>
              <w:t xml:space="preserve">2028 Q4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280"/>
                <w:sz w:val="18"/>
                <w:szCs w:val="18"/>
              </w:rPr>
              <w:t xml:space="preserve">待启动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主持首个省级智库课题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280"/>
                <w:sz w:val="18"/>
                <w:szCs w:val="18"/>
              </w:rPr>
              <w:t xml:space="preserve">2029 Q2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280"/>
                <w:sz w:val="18"/>
                <w:szCs w:val="18"/>
              </w:rPr>
              <w:t xml:space="preserve">待启动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五、风险识别与对冲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具体场景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对冲策略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0"/>
                <w:szCs w:val="20"/>
              </w:rPr>
              <w:t xml:space="preserve">博士申请失败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8"/>
                <w:szCs w:val="18"/>
              </w:rPr>
              <w:t xml:space="preserve">澳门/马来博士竞争加剧，未获录取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8"/>
                <w:szCs w:val="18"/>
              </w:rPr>
              <w:t xml:space="preserve">同步申请香港/泰国备选，保持多线推进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0"/>
                <w:szCs w:val="20"/>
              </w:rPr>
              <w:t xml:space="preserve">专家库入库受阻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8"/>
                <w:szCs w:val="18"/>
              </w:rPr>
              <w:t xml:space="preserve">院校层级被隐形歧视，课题成果不足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8"/>
                <w:szCs w:val="18"/>
              </w:rPr>
              <w:t xml:space="preserve">先从市级专家库入手，再向省级跳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0"/>
                <w:szCs w:val="20"/>
              </w:rPr>
              <w:t xml:space="preserve">媒体转型失败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8"/>
                <w:szCs w:val="18"/>
              </w:rPr>
              <w:t xml:space="preserve">个人IP无法从“AI编程”转型为“数字治理”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8"/>
                <w:szCs w:val="18"/>
              </w:rPr>
              <w:t xml:space="preserve">两个账号并行运营，不强行转型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0"/>
                <w:szCs w:val="20"/>
              </w:rPr>
              <w:t xml:space="preserve">政策环境变化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8"/>
                <w:szCs w:val="18"/>
              </w:rPr>
              <w:t xml:space="preserve">数字治理话题降温，智库需求萎缩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8"/>
                <w:szCs w:val="18"/>
              </w:rPr>
              <w:t xml:space="preserve">保持“数字+教育”双轨能力，始终有备选赛道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0"/>
                <w:szCs w:val="20"/>
              </w:rPr>
              <w:t xml:space="preserve">打工时间不足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8"/>
                <w:szCs w:val="18"/>
              </w:rPr>
              <w:t xml:space="preserve">教学任务重+学业任务重，无法并行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8"/>
                <w:szCs w:val="18"/>
              </w:rPr>
              <w:t xml:space="preserve">用经济资本购买时间：减课、雇助手、外包研究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六、核心洞察：你和周涛杨澜的路径差异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周涛、杨澜的核心不是“主持人”，而是“文化资本转换器”。她们的路径是从“平台象征资本”反向撬动下游资本。你没有这个平台，但你有她们没有的东西：经济底座和复合型专业能力。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4"/>
          <w:szCs w:val="24"/>
        </w:rPr>
        <w:t xml:space="preserve">周涛杨澜的跃迁机制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第一步：通过央视平台获得巨量象征资本（全国认知）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第二步：用象征资本撬动社会资本（进入高端圈层）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第三步：用社会资本撬动经济资本（创业/投资）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第四步：经济资本回流强化象征资本（正反馈循环）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4"/>
          <w:szCs w:val="24"/>
        </w:rPr>
        <w:t xml:space="preserve">你的跃迁机制（反向）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第一步：用经济资本换文化资本（MPA/博士/课题）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第二步：用文化资本换社会资本（专家库/智库/圈层）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第三步：用社会资本换象征资本（媒体出镜/论坛主持/公共发声）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第四步：象征资本回流强化所有资本（正反馈循环）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C0392B"/>
          <w:sz w:val="21"/>
          <w:szCs w:val="21"/>
        </w:rPr>
        <w:t xml:space="preserve">你的路径比周涛杨澜多一步，但起点更稳。关键是第三步——从“专家”到“公共人物”的跳跃，这是整个规划中最难的一步。必须有一个“出圈事件”来完成这个跳跃。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4"/>
          <w:szCs w:val="24"/>
        </w:rPr>
        <w:t xml:space="preserve">什么是“出圈事件”？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主笔一份被省领导批示的内参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在重大政策论坛上做主旨演讲，被媒体广泛报道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主持一个被全省关注的数字治理白皮书发布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在重大公共事件中以专家身份发声，获得全省关注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七、战略锚点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FEE2E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8"/>
                <w:szCs w:val="28"/>
              </w:rPr>
              <w:t xml:space="preserve">战略锚点</w:t>
            </w:r>
          </w:p>
          <w:p>
            <w:pPr>
              <w:spacing w:after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4"/>
                <w:szCs w:val="24"/>
              </w:rPr>
              <w:t xml:space="preserve">数字治理 × 四川 × 跨界 = 你独有的竞争壁垒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280"/>
                <w:sz w:val="22"/>
                <w:szCs w:val="22"/>
              </w:rPr>
              <w:t xml:space="preserve">不做第二个人，做第一个这样的人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BEA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8"/>
                <w:szCs w:val="28"/>
              </w:rPr>
              <w:t xml:space="preserve">核心原则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2"/>
                <w:szCs w:val="22"/>
              </w:rPr>
              <w:t xml:space="preserve">每一步都要让下一步更容易，而不是重新开始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阶级跃迁战略规划</w:t>
    </w: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	机密文件 · 仅限本人阅读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icrosoft YaHei" w:cs="Microsoft YaHei" w:eastAsia="Microsoft YaHei" w:hAnsi="Microsoft YaHei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2026-05-30T11:33:07.915Z</dcterms:created>
  <dcterms:modified xsi:type="dcterms:W3CDTF">2026-05-30T11:33:07.917Z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