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</w:p>
    <w:p>
      <w:pPr>
        <w:spacing w:after="140"/>
      </w:pPr>
    </w:p>
    <w:p>
      <w:pPr>
        <w:spacing w:after="140"/>
      </w:pPr>
    </w:p>
    <w:p>
      <w:pPr>
        <w:spacing w:after="140"/>
      </w:pPr>
    </w:p>
    <w:p>
      <w:pPr>
        <w:pStyle w:val="Title"/>
        <w:jc w:val="center"/>
      </w:pPr>
      <w:r>
        <w:t>邻里闲置</w:t>
      </w:r>
    </w:p>
    <w:p>
      <w:pPr>
        <w:pStyle w:val="Subtitle"/>
        <w:jc w:val="center"/>
      </w:pPr>
      <w:r>
        <w:t>项目设计说明书</w:t>
      </w:r>
    </w:p>
    <w:p>
      <w:pPr>
        <w:spacing w:after="140"/>
        <w:jc w:val="center"/>
      </w:pPr>
      <w:r>
        <w:t>社区闲置物品流转 Web 应用</w:t>
      </w:r>
    </w:p>
    <w:p>
      <w:pPr>
        <w:spacing w:after="1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/>
          <w:cantSplit/>
        </w:trPr>
        <w:tc>
          <w:tcPr>
            <w:tcW w:type="dxa" w:w="2268"/>
            <w:shd w:fill="EAF0EE"/>
          </w:tcPr>
          <w:p>
            <w:pPr>
              <w:spacing w:after="80" w:before="8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7370"/>
            <w:shd w:fill="EAF0EE"/>
          </w:tcPr>
          <w:p>
            <w:pPr>
              <w:spacing w:after="80" w:before="80"/>
            </w:pPr>
            <w:r>
              <w:rPr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应用形态</w:t>
            </w:r>
          </w:p>
        </w:tc>
        <w:tc>
          <w:tcPr>
            <w:tcW w:type="dxa" w:w="7370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移动端优先、兼容桌面浏览器的 Web 应用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文档内容</w:t>
            </w:r>
          </w:p>
        </w:tc>
        <w:tc>
          <w:tcPr>
            <w:tcW w:type="dxa" w:w="7370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产品说明、Web 页面截图、技术方案、10 张独立 Chen E-R 图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文档阶段</w:t>
            </w:r>
          </w:p>
        </w:tc>
        <w:tc>
          <w:tcPr>
            <w:tcW w:type="dxa" w:w="7370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设计阶段；应用业务与数据库尚未实现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截图类型</w:t>
            </w:r>
          </w:p>
        </w:tc>
        <w:tc>
          <w:tcPr>
            <w:tcW w:type="dxa" w:w="7370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本地 Web 页面原型截图，使用虚构数据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版本 / 日期</w:t>
            </w:r>
          </w:p>
        </w:tc>
        <w:tc>
          <w:tcPr>
            <w:tcW w:type="dxa" w:w="7370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1.0 / 2026-09-27</w:t>
            </w:r>
          </w:p>
        </w:tc>
      </w:tr>
    </w:tbl>
    <w:p>
      <w:pPr>
        <w:spacing w:after="140"/>
      </w:pPr>
      <w:r>
        <w:t>本报告用于说明产品与数据库设计。实现、真实 LLM 调用、运行测试和部署结果需在开发完成后补充核验；设计图或页面原型不作为全栈验收证据。</w:t>
      </w:r>
    </w:p>
    <w:p>
      <w:r>
        <w:br w:type="page"/>
      </w:r>
    </w:p>
    <w:p>
      <w:pPr>
        <w:pStyle w:val="Heading1"/>
      </w:pPr>
      <w:r>
        <w:t>1  项目概述与需求</w:t>
      </w:r>
    </w:p>
    <w:p>
      <w:pPr>
        <w:pStyle w:val="Heading2"/>
      </w:pPr>
      <w:r>
        <w:t>1.1 场景与目标</w:t>
      </w:r>
    </w:p>
    <w:p>
      <w:pPr>
        <w:spacing w:after="140"/>
      </w:pPr>
      <w:r>
        <w:t>小区群里的闲置物品容易被新消息淹没；领取者难以判断物品是否还在，双方又需要反复私聊约时间和地点。邻里闲置面向同一个小区、楼栋或办公室，以物品卡片、明确状态和预约交接减少这些沟通成本。</w:t>
      </w:r>
    </w:p>
    <w:p>
      <w:pPr>
        <w:spacing w:after="140"/>
      </w:pPr>
      <w:r>
        <w:t>本次以单一预置社区为范围，采用虚构演示身份和预置图片，优先完成一条可验证的线下交易闭环。</w:t>
      </w:r>
    </w:p>
    <w:p>
      <w:pPr>
        <w:pStyle w:val="Heading2"/>
      </w:pPr>
      <w:r>
        <w:t>1.2 主要用户与流程</w:t>
      </w:r>
    </w:p>
    <w:p>
      <w:pPr>
        <w:spacing w:after="140"/>
      </w:pPr>
      <w:r>
        <w:t>发布者与领取者都是社区用户，同一用户可在不同物品下承担不同角色。访客可以浏览；写操作由服务端校验身份和权限。</w:t>
      </w:r>
    </w:p>
    <w:p>
      <w:pPr>
        <w:spacing w:after="140"/>
      </w:pPr>
      <w:r>
        <w:t>发布物品 → 浏览与搜索 → 表达想要 → 发布者选人并预约 → 领取者确认 → 线下交接 → 发布者确认送出 → 归档与统计更新。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/>
          <w:cantSplit/>
        </w:trPr>
        <w:tc>
          <w:tcPr>
            <w:tcW w:type="dxa" w:w="2268"/>
            <w:shd w:fill="EAF0EE"/>
          </w:tcPr>
          <w:p>
            <w:pPr>
              <w:spacing w:after="80" w:before="80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type="dxa" w:w="7370"/>
            <w:shd w:fill="EAF0EE"/>
          </w:tcPr>
          <w:p>
            <w:pPr>
              <w:spacing w:after="80" w:before="80"/>
            </w:pPr>
            <w:r>
              <w:rPr>
                <w:b/>
                <w:sz w:val="20"/>
              </w:rPr>
              <w:t>设计说明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物品发布</w:t>
            </w:r>
          </w:p>
        </w:tc>
        <w:tc>
          <w:tcPr>
            <w:tcW w:type="dxa" w:w="7370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名称、描述、交易方式、预置图片与自提楼栋；支持免费送、随便给、标价。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发现与检索</w:t>
            </w:r>
          </w:p>
        </w:tc>
        <w:tc>
          <w:tcPr>
            <w:tcW w:type="dxa" w:w="7370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卡片按发布时间倒序；支持关键词搜索和交易方式筛选；显示新鲜度。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意向与交接</w:t>
            </w:r>
          </w:p>
        </w:tc>
        <w:tc>
          <w:tcPr>
            <w:tcW w:type="dxa" w:w="7370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想要、撤回、查看意向人；约定未来 7 天内的时间和公共地点；确认、取消与完成。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留言与归档</w:t>
            </w:r>
          </w:p>
        </w:tc>
        <w:tc>
          <w:tcPr>
            <w:tcW w:type="dxa" w:w="7370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公开问答减少重复私聊；已送出保留记录并禁止写操作。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社区看板</w:t>
            </w:r>
          </w:p>
        </w:tc>
        <w:tc>
          <w:tcPr>
            <w:tcW w:type="dxa" w:w="7370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本月发布、本月成交、当前在售、最快领走和最想要物品。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LLM 辅助</w:t>
            </w:r>
          </w:p>
        </w:tc>
        <w:tc>
          <w:tcPr>
            <w:tcW w:type="dxa" w:w="7370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根据已知事实整理文案和给出参考价；用户选择采用，失败时仍能手动发布。</w:t>
            </w:r>
          </w:p>
        </w:tc>
      </w:tr>
    </w:tbl>
    <w:p>
      <w:pPr>
        <w:pStyle w:val="Heading2"/>
      </w:pPr>
      <w:r>
        <w:t>1.3 取舍与交付</w:t>
      </w:r>
    </w:p>
    <w:p>
      <w:pPr>
        <w:spacing w:after="140"/>
      </w:pPr>
      <w:r>
        <w:t>不纳入本次基线：支付、快递、即时私聊、信用体系、多社区、真实注册和图片上传。考试交付包括本地可运行全栈应用、5 分钟视频、数据库 E-R 图及技术栈简介；远端部署为可选项。</w:t>
      </w:r>
    </w:p>
    <w:p>
      <w:r>
        <w:br w:type="page"/>
      </w:r>
    </w:p>
    <w:p>
      <w:pPr>
        <w:pStyle w:val="Heading1"/>
      </w:pPr>
      <w:r>
        <w:t>2  技术架构与系统规则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102"/>
      </w:tblGrid>
      <w:tr>
        <w:trPr>
          <w:tblHeader/>
          <w:cantSplit/>
        </w:trPr>
        <w:tc>
          <w:tcPr>
            <w:tcW w:type="dxa" w:w="1701"/>
            <w:shd w:fill="EAF0EE"/>
          </w:tcPr>
          <w:p>
            <w:pPr>
              <w:spacing w:after="80" w:before="80"/>
            </w:pPr>
            <w:r>
              <w:rPr>
                <w:b/>
                <w:sz w:val="20"/>
              </w:rPr>
              <w:t>层次</w:t>
            </w:r>
          </w:p>
        </w:tc>
        <w:tc>
          <w:tcPr>
            <w:tcW w:type="dxa" w:w="2835"/>
            <w:shd w:fill="EAF0EE"/>
          </w:tcPr>
          <w:p>
            <w:pPr>
              <w:spacing w:after="80" w:before="80"/>
            </w:pPr>
            <w:r>
              <w:rPr>
                <w:b/>
                <w:sz w:val="20"/>
              </w:rPr>
              <w:t>选型</w:t>
            </w:r>
          </w:p>
        </w:tc>
        <w:tc>
          <w:tcPr>
            <w:tcW w:type="dxa" w:w="5102"/>
            <w:shd w:fill="EAF0EE"/>
          </w:tcPr>
          <w:p>
            <w:pPr>
              <w:spacing w:after="80" w:before="80"/>
            </w:pPr>
            <w:r>
              <w:rPr>
                <w:b/>
                <w:sz w:val="20"/>
              </w:rPr>
              <w:t>职责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前端</w:t>
            </w:r>
          </w:p>
        </w:tc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React + TypeScript + Vite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页面、表单、状态反馈与 API 调用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后端</w:t>
            </w:r>
          </w:p>
        </w:tc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Node.js + Fastify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身份、权限、参数校验、业务事务与 LLM 接入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数据库</w:t>
            </w:r>
          </w:p>
        </w:tc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SQLite + Drizzle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物品、意向、留言、交易和会话的持久化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接口契约</w:t>
            </w:r>
          </w:p>
        </w:tc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OpenAPI 3.1 + 共享 Schema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固定输入、输出与错误结构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验证</w:t>
            </w:r>
          </w:p>
        </w:tc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Vitest + API 测试 + Playwright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业务规则、权限、并发与双会话端到端验收</w:t>
            </w:r>
          </w:p>
        </w:tc>
      </w:tr>
    </w:tbl>
    <w:p>
      <w:pPr>
        <w:spacing w:after="140"/>
      </w:pPr>
      <w:r>
        <w:t>浏览器通过同源 /api/v1 访问后端；后端访问 SQLite 并调用模型服务。密钥只放在服务端环境变量中。前端、API 与数据库保持明确边界。上述选型为计划，依赖版本将在工程初始化时锁定。</w:t>
      </w:r>
    </w:p>
    <w:p>
      <w:pPr>
        <w:pStyle w:val="Heading2"/>
      </w:pPr>
      <w:r>
        <w:t>2.1 状态与一致性</w:t>
      </w:r>
    </w:p>
    <w:p>
      <w:pPr>
        <w:spacing w:after="140"/>
      </w:pPr>
      <w:r>
        <w:t>物品：可领取 → 已预约 → 已送出；取消预约后恢复可领取。交易：待确认 → 已确认 → 已完成；待确认或已确认的交易允许双方取消。物主不能领取自己的物品，只有指定领取者能确认预约，只有物主能确认送出。</w:t>
      </w:r>
    </w:p>
    <w:p>
      <w:pPr>
        <w:spacing w:after="140"/>
      </w:pPr>
      <w:r>
        <w:t>预约创建、取消和完成在事务内校验状态并更新数据。部分唯一索引保证同一物品最多一笔未取消交易；重复确认或完成不会重复成交。交易细节只对双方开放。</w:t>
      </w:r>
    </w:p>
    <w:p>
      <w:pPr>
        <w:pStyle w:val="Heading2"/>
      </w:pPr>
      <w:r>
        <w:t>2.2 时间、价格与统计</w:t>
      </w:r>
    </w:p>
    <w:p>
      <w:pPr>
        <w:spacing w:after="140"/>
      </w:pPr>
      <w:r>
        <w:t>不足 24 小时为“刚上架”；24 至不足 72 小时为“新上架”；之后按经过整天数展示。金额以整数分保存。月统计按北京时间计算，成交仅统计已完成交易，当前在售含可领取和已预约。</w:t>
      </w:r>
    </w:p>
    <w:p>
      <w:pPr>
        <w:pStyle w:val="Heading2"/>
      </w:pPr>
      <w:r>
        <w:t>2.3 模型能力的边界</w:t>
      </w:r>
    </w:p>
    <w:p>
      <w:pPr>
        <w:spacing w:after="140"/>
      </w:pPr>
      <w:r>
        <w:t>AI 只根据输入事实优化描述，不擅自补造品牌、成色或故障状况。参考价注明不是行情估价；响应需结构校验，超时或无配置时保留用户输入。最终验收须单独记录一次真实模型调用。</w:t>
      </w:r>
    </w:p>
    <w:p>
      <w:r>
        <w:br w:type="page"/>
      </w:r>
    </w:p>
    <w:p>
      <w:pPr>
        <w:pStyle w:val="Heading1"/>
      </w:pPr>
      <w:r>
        <w:t>3.1  Web 页面：社区首页</w:t>
      </w:r>
    </w:p>
    <w:p>
      <w:pPr>
        <w:spacing w:after="140"/>
      </w:pPr>
      <w:r>
        <w:t>截图来源：本地浏览器打开项目 Web 原型后实拍。页面中的数据与 AI 建议为示例；此原型用于说明交互设计，未连接后端、数据库或真实模型。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3-1  社区首页（Web 原型截图）</w:t>
      </w:r>
    </w:p>
    <w:p>
      <w:pPr>
        <w:pStyle w:val="Heading2"/>
      </w:pPr>
      <w:r>
        <w:t>页面说明</w:t>
      </w:r>
    </w:p>
    <w:p>
      <w:pPr>
        <w:spacing w:after="140"/>
      </w:pPr>
      <w:r>
        <w:t>卡片突出物品、新鲜度、价格和所在楼栋。搜索和交易方式筛选支持组合使用；顶部统计与底部热门信息为原型示例。</w:t>
      </w:r>
    </w:p>
    <w:p>
      <w:pPr>
        <w:spacing w:after="140"/>
      </w:pPr>
      <w:r>
        <w:t>采集条件：1440 × 960 浏览器视口；对应原型页面：home。</w:t>
      </w:r>
    </w:p>
    <w:p>
      <w:r>
        <w:br w:type="page"/>
      </w:r>
    </w:p>
    <w:p>
      <w:pPr>
        <w:pStyle w:val="Heading1"/>
      </w:pPr>
      <w:r>
        <w:t>3.2  Web 页面：物品详情与公开留言</w:t>
      </w:r>
    </w:p>
    <w:p>
      <w:pPr>
        <w:spacing w:after="140"/>
      </w:pPr>
      <w:r>
        <w:t>截图来源：本地浏览器打开项目 Web 原型后实拍。页面中的数据与 AI 建议为示例；此原型用于说明交互设计，未连接后端、数据库或真实模型。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-desk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3-2  物品详情与公开留言（Web 原型截图）</w:t>
      </w:r>
    </w:p>
    <w:p>
      <w:pPr>
        <w:pStyle w:val="Heading2"/>
      </w:pPr>
      <w:r>
        <w:t>页面说明</w:t>
      </w:r>
    </w:p>
    <w:p>
      <w:pPr>
        <w:spacing w:after="140"/>
      </w:pPr>
      <w:r>
        <w:t>物品详情集中展示描述、发布者、自提方式和当前状态。用户可表达或撤回想要，公开留言可减少重复私聊。页面交互仅模拟前端状态。</w:t>
      </w:r>
    </w:p>
    <w:p>
      <w:pPr>
        <w:spacing w:after="140"/>
      </w:pPr>
      <w:r>
        <w:t>采集条件：1440 × 960 浏览器视口；对应原型页面：detail。</w:t>
      </w:r>
    </w:p>
    <w:p>
      <w:r>
        <w:br w:type="page"/>
      </w:r>
    </w:p>
    <w:p>
      <w:pPr>
        <w:pStyle w:val="Heading1"/>
      </w:pPr>
      <w:r>
        <w:t>3.3  Web 页面：物品发布与 AI 辅助</w:t>
      </w:r>
    </w:p>
    <w:p>
      <w:pPr>
        <w:spacing w:after="140"/>
      </w:pPr>
      <w:r>
        <w:t>截图来源：本地浏览器打开项目 Web 原型后实拍。页面中的数据与 AI 建议为示例；此原型用于说明交互设计，未连接后端、数据库或真实模型。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645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sh-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4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3-3  物品发布与 AI 辅助（Web 原型截图）</w:t>
      </w:r>
    </w:p>
    <w:p>
      <w:pPr>
        <w:pStyle w:val="Heading2"/>
      </w:pPr>
      <w:r>
        <w:t>页面说明</w:t>
      </w:r>
    </w:p>
    <w:p>
      <w:pPr>
        <w:spacing w:after="140"/>
      </w:pPr>
      <w:r>
        <w:t>左侧填写事实信息，右侧展示固定 AI 建议示例。文案与参考价格分别采用，用户仍可修改；本页没有发出真实模型请求，也不保存业务数据。</w:t>
      </w:r>
    </w:p>
    <w:p>
      <w:pPr>
        <w:spacing w:after="140"/>
      </w:pPr>
      <w:r>
        <w:t>采集条件：1440 × 960 浏览器视口；对应原型页面：publish。</w:t>
      </w:r>
    </w:p>
    <w:p>
      <w:r>
        <w:br w:type="page"/>
      </w:r>
    </w:p>
    <w:p>
      <w:pPr>
        <w:pStyle w:val="Heading1"/>
      </w:pPr>
      <w:r>
        <w:t>3.4  Web 页面：预约交接与完成</w:t>
      </w:r>
    </w:p>
    <w:p>
      <w:pPr>
        <w:spacing w:after="140"/>
      </w:pPr>
      <w:r>
        <w:t>截图来源：本地浏览器打开项目 Web 原型后实拍。页面中的数据与 AI 建议为示例；此原型用于说明交互设计，未连接后端、数据库或真实模型。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off-desk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3-4  预约交接与完成（Web 原型截图）</w:t>
      </w:r>
    </w:p>
    <w:p>
      <w:pPr>
        <w:pStyle w:val="Heading2"/>
      </w:pPr>
      <w:r>
        <w:t>页面说明</w:t>
      </w:r>
    </w:p>
    <w:p>
      <w:pPr>
        <w:spacing w:after="140"/>
      </w:pPr>
      <w:r>
        <w:t>发布者查看领取人、时间、公共交接地点和确认进度。页面可演示取消、完成二次确认和状态反馈；这些操作未写入后端。</w:t>
      </w:r>
    </w:p>
    <w:p>
      <w:pPr>
        <w:spacing w:after="140"/>
      </w:pPr>
      <w:r>
        <w:t>采集条件：1440 × 960 浏览器视口；对应原型页面：handoff。</w:t>
      </w:r>
    </w:p>
    <w:p>
      <w:r>
        <w:br w:type="page"/>
      </w:r>
    </w:p>
    <w:p>
      <w:pPr>
        <w:pStyle w:val="Heading1"/>
      </w:pPr>
      <w:r>
        <w:t>4  数据库概念结构与全局 E-R 图</w:t>
      </w:r>
    </w:p>
    <w:p>
      <w:pPr>
        <w:spacing w:after="140"/>
      </w:pPr>
      <w:r>
        <w:t>采用 Chen 表示法：矩形表示实体，椭圆表示属性，菱形表示联系，主键属性加下划线，直线无箭头，1 / n 表示联系的最大基数。共包含 6 张实体属性图、3 张局部联系图和 1 张全局图。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2669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glob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6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4-1  全局实体联系图</w:t>
      </w:r>
    </w:p>
    <w:p>
      <w:pPr>
        <w:spacing w:after="140"/>
      </w:pPr>
      <w:r>
        <w:t>六个实体为用户、登录会话、物品、意向记录、留言和交易记录。取消联系可选，交易有零个或一个取消人；物品与交易的一对多包含取消历史，不表示允许同时成交给多人。</w:t>
      </w:r>
    </w:p>
    <w:p>
      <w:r>
        <w:br w:type="page"/>
      </w:r>
    </w:p>
    <w:p>
      <w:pPr>
        <w:pStyle w:val="Heading1"/>
      </w:pPr>
      <w:r>
        <w:t>5.1  实体属性图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66360" cy="3444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-us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44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5-1  用户实体属性图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66360" cy="34442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-sess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44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5-2  登录会话实体属性图</w:t>
      </w:r>
    </w:p>
    <w:p>
      <w:pPr>
        <w:spacing w:after="140"/>
      </w:pPr>
      <w:r>
        <w:t>标识属性以椭圆内文字下划线表示。外键通过联系图表达；字段英文名、数据类型和约束见 SRS。</w:t>
      </w:r>
    </w:p>
    <w:p>
      <w:r>
        <w:br w:type="page"/>
      </w:r>
    </w:p>
    <w:p>
      <w:pPr>
        <w:pStyle w:val="Heading1"/>
      </w:pPr>
      <w:r>
        <w:t>5.2  实体属性图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66360" cy="34442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-ite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44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5-3  物品实体属性图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66360" cy="34442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-intere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44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5-4  意向记录实体属性图</w:t>
      </w:r>
    </w:p>
    <w:p>
      <w:r>
        <w:br w:type="page"/>
      </w:r>
    </w:p>
    <w:p>
      <w:pPr>
        <w:pStyle w:val="Heading1"/>
      </w:pPr>
      <w:r>
        <w:t>5.3  实体属性图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66360" cy="34442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-comm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44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5-5  留言实体属性图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66360" cy="34442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-trad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44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5-6  交易记录实体属性图</w:t>
      </w:r>
    </w:p>
    <w:p>
      <w:r>
        <w:br w:type="page"/>
      </w:r>
    </w:p>
    <w:p>
      <w:pPr>
        <w:pStyle w:val="Heading1"/>
      </w:pPr>
      <w:r>
        <w:t>6.1  局部实体联系图：用户发布与登录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114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-publish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6-1  用户发布与登录联系图</w:t>
      </w:r>
    </w:p>
    <w:p>
      <w:pPr>
        <w:spacing w:after="140"/>
      </w:pPr>
      <w:r>
        <w:t>一个用户可拥有多个会话、发布多件物品。会话与物品各属于一个用户。</w:t>
      </w:r>
    </w:p>
    <w:p>
      <w:r>
        <w:br w:type="page"/>
      </w:r>
    </w:p>
    <w:p>
      <w:pPr>
        <w:pStyle w:val="Heading1"/>
      </w:pPr>
      <w:r>
        <w:t>6.2  局部实体联系图：物品意向与留言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114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-interest-commen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6-2  物品意向与留言联系图</w:t>
      </w:r>
    </w:p>
    <w:p>
      <w:pPr>
        <w:spacing w:after="140"/>
      </w:pPr>
      <w:r>
        <w:t>每条意向或留言关联一个用户和一件物品。同一用户对同一物品只有一条意向记录，撤回后可再次激活。</w:t>
      </w:r>
    </w:p>
    <w:p>
      <w:r>
        <w:br w:type="page"/>
      </w:r>
    </w:p>
    <w:p>
      <w:pPr>
        <w:pStyle w:val="Heading1"/>
      </w:pPr>
      <w:r>
        <w:t>6.3  局部实体联系图：交易交接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114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-trad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6-3  交易交接联系图</w:t>
      </w:r>
    </w:p>
    <w:p>
      <w:pPr>
        <w:spacing w:after="140"/>
      </w:pPr>
      <w:r>
        <w:t>每笔交易关联一件物品和一个指定领取者；发布者由物品确定。取消人必须是双方之一；同一物品最多一笔未取消交易。</w:t>
      </w:r>
    </w:p>
    <w:p>
      <w:r>
        <w:br w:type="page"/>
      </w:r>
    </w:p>
    <w:p>
      <w:pPr>
        <w:pStyle w:val="Heading1"/>
      </w:pPr>
      <w:r>
        <w:t>7  关系模式与完整性约束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102"/>
      </w:tblGrid>
      <w:tr>
        <w:trPr>
          <w:tblHeader/>
          <w:cantSplit/>
        </w:trPr>
        <w:tc>
          <w:tcPr>
            <w:tcW w:type="dxa" w:w="1701"/>
            <w:shd w:fill="EAF0EE"/>
          </w:tcPr>
          <w:p>
            <w:pPr>
              <w:spacing w:after="80" w:before="80"/>
            </w:pPr>
            <w:r>
              <w:rPr>
                <w:b/>
                <w:sz w:val="20"/>
              </w:rPr>
              <w:t>关系表</w:t>
            </w:r>
          </w:p>
        </w:tc>
        <w:tc>
          <w:tcPr>
            <w:tcW w:type="dxa" w:w="2835"/>
            <w:shd w:fill="EAF0EE"/>
          </w:tcPr>
          <w:p>
            <w:pPr>
              <w:spacing w:after="80" w:before="80"/>
            </w:pPr>
            <w:r>
              <w:rPr>
                <w:b/>
                <w:sz w:val="20"/>
              </w:rPr>
              <w:t>主键与关键引用</w:t>
            </w:r>
          </w:p>
        </w:tc>
        <w:tc>
          <w:tcPr>
            <w:tcW w:type="dxa" w:w="5102"/>
            <w:shd w:fill="EAF0EE"/>
          </w:tcPr>
          <w:p>
            <w:pPr>
              <w:spacing w:after="80" w:before="80"/>
            </w:pPr>
            <w:r>
              <w:rPr>
                <w:b/>
                <w:sz w:val="20"/>
              </w:rPr>
              <w:t>主要约束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users</w:t>
            </w:r>
          </w:p>
        </w:tc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昵称与楼栋；用户可同时承担发布和领取角色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sessions</w:t>
            </w:r>
          </w:p>
        </w:tc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id；user_id → users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token_hash 唯一，仅保存令牌哈希，支持过期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items</w:t>
            </w:r>
          </w:p>
        </w:tc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id；owner_id → users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交易方式与金额匹配；GIVEN 必须有送出时间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interests</w:t>
            </w:r>
          </w:p>
        </w:tc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id；item_id、user_id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(item_id,user_id) 联合唯一；active 标记有效状态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comments</w:t>
            </w:r>
          </w:p>
        </w:tc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id；item_id、author_id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归档物品不可新增留言；正文为纯文本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trades</w:t>
            </w:r>
          </w:p>
        </w:tc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id；item_id、recipient_id、cancelled_by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状态时间字段一致；取消人可空；未取消交易部分唯一</w:t>
            </w:r>
          </w:p>
        </w:tc>
      </w:tr>
    </w:tbl>
    <w:p>
      <w:pPr>
        <w:spacing w:after="140"/>
      </w:pPr>
      <w:r>
        <w:t>ID 使用 UUID；数据库时间采用 UTC 毫秒，API 使用带时区的 ISO 8601。外键、CHECK 与唯一索引由迁移建立；跨表身份和状态条件在同一事务中校验。图纸在开发完成后还须对照实际迁移复核。</w:t>
      </w:r>
    </w:p>
    <w:p>
      <w:pPr>
        <w:pStyle w:val="Heading2"/>
      </w:pPr>
      <w:r>
        <w:t>7.1 关键约束示例</w:t>
      </w:r>
    </w:p>
    <w:p>
      <w:pPr>
        <w:spacing w:after="140"/>
      </w:pPr>
      <w:r>
        <w:t>免费送价格为 0；随便给无固定价格；标价为正整数分。一个物品可以有多次取消的历史交易，但 PENDING、CONFIRMED、COMPLETED 范围内最多一条交易。</w:t>
      </w:r>
    </w:p>
    <w:p>
      <w:pPr>
        <w:spacing w:after="140"/>
      </w:pPr>
      <w:r>
        <w:t>交易完成时，交易状态与物品状态同时更新，完成时间保持一致。重复完成返回原结果，不新增成交记录；旧取消请求不能影响后续新预约。</w:t>
      </w:r>
    </w:p>
    <w:p>
      <w:r>
        <w:br w:type="page"/>
      </w:r>
    </w:p>
    <w:p>
      <w:pPr>
        <w:pStyle w:val="Heading1"/>
      </w:pPr>
      <w:r>
        <w:t>8  开发计划、验证与交付状态</w:t>
      </w:r>
    </w:p>
    <w:p>
      <w:pPr>
        <w:spacing w:after="140"/>
      </w:pPr>
      <w:r>
        <w:t>GitHub Epic #1 下设 11 个必需开发任务，另有 1 个可选部署任务。先建立工程与契约，再实施数据库和模块，最后联调、验证并制作交付材料。页面原型与本报告不代表这些开发任务已完成。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102"/>
      </w:tblGrid>
      <w:tr>
        <w:trPr>
          <w:tblHeader/>
          <w:cantSplit/>
        </w:trPr>
        <w:tc>
          <w:tcPr>
            <w:tcW w:type="dxa" w:w="1701"/>
            <w:shd w:fill="EAF0EE"/>
          </w:tcPr>
          <w:p>
            <w:pPr>
              <w:spacing w:after="80" w:before="80"/>
            </w:pPr>
            <w:r>
              <w:rPr>
                <w:b/>
                <w:sz w:val="20"/>
              </w:rPr>
              <w:t>验证项</w:t>
            </w:r>
          </w:p>
        </w:tc>
        <w:tc>
          <w:tcPr>
            <w:tcW w:type="dxa" w:w="2835"/>
            <w:shd w:fill="EAF0EE"/>
          </w:tcPr>
          <w:p>
            <w:pPr>
              <w:spacing w:after="80" w:before="80"/>
            </w:pPr>
            <w:r>
              <w:rPr>
                <w:b/>
                <w:sz w:val="20"/>
              </w:rPr>
              <w:t>验收要求</w:t>
            </w:r>
          </w:p>
        </w:tc>
        <w:tc>
          <w:tcPr>
            <w:tcW w:type="dxa" w:w="5102"/>
            <w:shd w:fill="EAF0EE"/>
          </w:tcPr>
          <w:p>
            <w:pPr>
              <w:spacing w:after="80" w:before="80"/>
            </w:pPr>
            <w:r>
              <w:rPr>
                <w:b/>
                <w:sz w:val="20"/>
              </w:rPr>
              <w:t>当前状态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双角色交易</w:t>
            </w:r>
          </w:p>
        </w:tc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发布→想要→预约→确认→完成→归档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待实现与验证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权限与并发</w:t>
            </w:r>
          </w:p>
        </w:tc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越权拒绝、同一物品唯一有效预约、重试幂等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待实现与验证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数据持久化</w:t>
            </w:r>
          </w:p>
        </w:tc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迁移、种子及服务重启后数据保存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待实现与验证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真实 LLM</w:t>
            </w:r>
          </w:p>
        </w:tc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成功调用证据与超时/缺配置降级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待配置与验证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Web 截图</w:t>
            </w:r>
          </w:p>
        </w:tc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截图来源、页面用途和演示数据标注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原型截图已纳入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E-R 图</w:t>
            </w:r>
          </w:p>
        </w:tc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10 张独立 Chen 图已绘制，后续核对实际迁移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设计图已完成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5 分钟视频</w:t>
            </w:r>
          </w:p>
        </w:tc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可运行 Demo 和实现讲解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待开发完成后录制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CI / 部署</w:t>
            </w:r>
          </w:p>
        </w:tc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配置后跟踪终态，部署后核验线上</w:t>
            </w:r>
          </w:p>
        </w:tc>
        <w:tc>
          <w:tcPr>
            <w:tcW w:type="dxa" w:w="5102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当前未配置</w:t>
            </w:r>
          </w:p>
        </w:tc>
      </w:tr>
    </w:tbl>
    <w:p>
      <w:pPr>
        <w:pStyle w:val="Heading2"/>
      </w:pPr>
      <w:r>
        <w:t>8.1 配套资料</w:t>
      </w:r>
    </w:p>
    <w:p>
      <w:pPr>
        <w:spacing w:after="140"/>
      </w:pPr>
      <w:r>
        <w:t>产品范围：docs/product/PRD.md；系统规格：docs/engineering/SRS.md；图纸与映射：docs/engineering/ERD.md；依赖计划：docs/planning/DAG.md。</w:t>
      </w:r>
    </w:p>
    <w:p>
      <w:pPr>
        <w:spacing w:after="140"/>
      </w:pPr>
      <w:r>
        <w:t>仓库：https://github.com/luochen211/neighborhood-exchange</w:t>
        <w:br/>
        <w:t>交付 Epic：https://github.com/luochen211/neighborhood-exchange/issues/1</w:t>
      </w:r>
    </w:p>
    <w:p>
      <w:pPr>
        <w:spacing w:after="140"/>
      </w:pPr>
      <w:r>
        <w:t>后续报告应逐项记录通过、实际失败、跳过与外部阻塞；不得把原型、模拟模型响应或计划中的行为写成已完成的全栈测试结果。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邻里闲置  |  项目设计说明书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PingFang SC"/>
      <w:b/>
      <w:bCs/>
      <w:color w:val="1837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PingFang SC"/>
      <w:b/>
      <w:bCs/>
      <w:color w:val="1837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PingFang SC"/>
      <w:b/>
      <w:bCs/>
      <w:color w:val="1837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PingFang SC"/>
      <w:color w:val="18372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PingFang SC"/>
      <w:i/>
      <w:iCs/>
      <w:color w:val="18372E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Songti SC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邻里闲置 · 项目设计说明书</dc:title>
  <dc:subject>产品说明、Web 页面截图、Chen E-R 图与系统设计</dc:subject>
  <dc:creator>邻里闲置项目组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