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1"/>
        </w:rPr>
        <w:t>公开测试夹具 · 全部内容为合成数据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F4D78"/>
          <w:sz w:val="56"/>
        </w:rPr>
        <w:t>合成学位论文版式测试样本</w:t>
      </w:r>
    </w:p>
    <w:p>
      <w:pPr>
        <w:spacing w:after="640"/>
        <w:jc w:val="center"/>
      </w:pPr>
      <w:r>
        <w:rPr>
          <w:rFonts w:ascii="Calibri" w:hAnsi="Calibri" w:eastAsia="Microsoft YaHei"/>
          <w:b w:val="0"/>
          <w:color w:val="637083"/>
          <w:sz w:val="28"/>
        </w:rPr>
        <w:t>Synthetic Thesis Layout Fixture for Formatting Regression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1"/>
              </w:rPr>
              <w:t>中图分类号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1"/>
              </w:rPr>
              <w:t>TP000（合成编号）</w:t>
            </w:r>
          </w:p>
        </w:tc>
      </w:tr>
      <w:tr>
        <w:tc>
          <w:tcPr>
            <w:tcW w:type="dxa" w:w="27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1"/>
              </w:rPr>
              <w:t>公开级别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1"/>
              </w:rPr>
              <w:t>公开测试数据</w:t>
            </w:r>
          </w:p>
        </w:tc>
      </w:tr>
      <w:tr>
        <w:tc>
          <w:tcPr>
            <w:tcW w:type="dxa" w:w="27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1"/>
              </w:rPr>
              <w:t>作者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1"/>
              </w:rPr>
              <w:t>示例作者</w:t>
            </w:r>
          </w:p>
        </w:tc>
      </w:tr>
      <w:tr>
        <w:tc>
          <w:tcPr>
            <w:tcW w:type="dxa" w:w="27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1"/>
              </w:rPr>
              <w:t>单位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1"/>
              </w:rPr>
              <w:t>示例大学文档工程学院</w:t>
            </w:r>
          </w:p>
        </w:tc>
      </w:tr>
      <w:tr>
        <w:tc>
          <w:tcPr>
            <w:tcW w:type="dxa" w:w="27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1"/>
              </w:rPr>
              <w:t>日期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1"/>
              </w:rPr>
              <w:t>2026 年 7 月</w:t>
            </w:r>
          </w:p>
        </w:tc>
      </w:tr>
    </w:tbl>
    <w:p>
      <w:pPr>
        <w:spacing w:before="560"/>
        <w:jc w:val="center"/>
      </w:pPr>
      <w:r>
        <w:rPr>
          <w:rFonts w:ascii="Calibri" w:hAnsi="Calibri" w:eastAsia="Microsoft YaHei"/>
          <w:b w:val="0"/>
          <w:color w:val="637083"/>
          <w:sz w:val="19"/>
        </w:rPr>
        <w:t>本文件不含真实人员、机构、联系方式或研究成果。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jc w:val="both"/>
      </w:pPr>
      <w:r>
        <w:t>本文档用于验证 DOCX 解析、标题识别、字体替换、表格宽度、分页和输出回执。所有名称、编号与论述均为专门生成的合成内容，不对应任何真实论文或个人。测试重点是文档结构和格式行为，而不是学术结论。</w:t>
      </w:r>
    </w:p>
    <w:p>
      <w:r>
        <w:rPr>
          <w:rFonts w:ascii="Calibri" w:hAnsi="Calibri" w:eastAsia="Microsoft YaHei"/>
          <w:b/>
          <w:sz w:val="22"/>
        </w:rPr>
        <w:t>关键词：</w:t>
      </w:r>
      <w:r>
        <w:rPr>
          <w:rFonts w:ascii="Calibri" w:hAnsi="Calibri" w:eastAsia="Microsoft YaHei"/>
          <w:b w:val="0"/>
          <w:sz w:val="22"/>
        </w:rPr>
        <w:t>文档工程；格式回归；合成夹具；隐私安全</w:t>
      </w:r>
    </w:p>
    <w:p>
      <w:pPr>
        <w:pStyle w:val="Heading1"/>
      </w:pPr>
      <w:r>
        <w:t>第一章 研究背景</w:t>
      </w:r>
    </w:p>
    <w:p>
      <w:pPr>
        <w:pStyle w:val="Heading2"/>
      </w:pPr>
      <w:r>
        <w:t>1.1 测试目标</w:t>
      </w:r>
    </w:p>
    <w:p>
      <w:pPr>
        <w:jc w:val="both"/>
      </w:pPr>
      <w:r>
        <w:t>发布级文档测试需要稳定、可重复且可公开的输入。合成夹具能够覆盖中文标题、英文副标题、多级标题和段落换行，同时避免把真实业务资料带入源码仓库。</w:t>
      </w:r>
    </w:p>
    <w:p>
      <w:pPr>
        <w:pStyle w:val="Heading2"/>
      </w:pPr>
      <w:r>
        <w:t>1.2 结构范围</w:t>
      </w:r>
    </w:p>
    <w:p>
      <w:pPr>
        <w:jc w:val="both"/>
      </w:pPr>
      <w:r>
        <w:t>本样本包含封面元数据、摘要、关键词、多级标题、数据表和结论页。每个元素都采用确定的样式和页面几何，以便不同环境比较输出。</w:t>
      </w:r>
    </w:p>
    <w:p>
      <w:pPr>
        <w:pStyle w:val="Heading1"/>
      </w:pPr>
      <w:r>
        <w:t>第二章 合成结果</w:t>
      </w:r>
    </w:p>
    <w:p>
      <w:pPr>
        <w:pStyle w:val="Heading2"/>
      </w:pPr>
      <w:r>
        <w:t>2.1 格式度量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检查项</w:t>
            </w:r>
          </w:p>
        </w:tc>
        <w:tc>
          <w:tcPr>
            <w:tcW w:type="dxa" w:w="312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合成值</w:t>
            </w:r>
          </w:p>
        </w:tc>
        <w:tc>
          <w:tcPr>
            <w:tcW w:type="dxa" w:w="312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预期状态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标题层级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3 级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可识别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页面边距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1 英寸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一致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表格宽度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9360 DXA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固定</w:t>
            </w:r>
          </w:p>
        </w:tc>
      </w:tr>
    </w:tbl>
    <w:p>
      <w:pPr>
        <w:pStyle w:val="Heading2"/>
      </w:pPr>
      <w:r>
        <w:t>2.2 解释</w:t>
      </w:r>
    </w:p>
    <w:p>
      <w:pPr>
        <w:jc w:val="both"/>
      </w:pPr>
      <w:r>
        <w:t>若处理流程保持标题、正文、表格和分页的语义一致，则该次回归可以判定为通过。任何真实姓名、联系方式、本机路径或外部文档内容都不应出现在测试产物中。</w:t>
      </w:r>
    </w:p>
    <w:p>
      <w:r>
        <w:br w:type="page"/>
      </w:r>
    </w:p>
    <w:p>
      <w:pPr>
        <w:pStyle w:val="Heading1"/>
      </w:pPr>
      <w:r>
        <w:t>第三章 结论</w:t>
      </w:r>
    </w:p>
    <w:p>
      <w:pPr>
        <w:jc w:val="both"/>
      </w:pPr>
      <w:r>
        <w:t>本合成文件为公开源码提供最小但具有代表性的论文类 DOCX 输入。它可用于格式化、风险扫描和发布路径验证，并可由生成脚本重复创建。</w:t>
      </w:r>
    </w:p>
    <w:p>
      <w:pPr>
        <w:pStyle w:val="Heading2"/>
      </w:pPr>
      <w:r>
        <w:t>数据声明</w:t>
      </w:r>
    </w:p>
    <w:p>
      <w:pPr>
        <w:jc w:val="both"/>
      </w:pPr>
      <w:r>
        <w:t>全文均为合成测试数据。示例作者、示例大学和全部编号不指向现实主体。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37083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3708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 w:val="0"/>
        <w:color w:val="637083"/>
        <w:sz w:val="18"/>
      </w:rPr>
      <w:t>合成学位论文版式测试样本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合成学位论文版式测试样本</dc:title>
  <dc:subject>公开 DOCX 格式回归夹具</dc:subject>
  <dc:creator>Alavette Form</dc:creator>
  <cp:keywords/>
  <dc:description>Synthetic public test fixture.</dc:description>
  <cp:lastModifiedBy>Alavette Form</cp:lastModifiedBy>
  <cp:revision>1</cp:revision>
  <dcterms:created xsi:type="dcterms:W3CDTF">2013-12-23T23:15:00Z</dcterms:created>
  <dcterms:modified xsi:type="dcterms:W3CDTF">2013-12-23T23:15:00Z</dcterms:modified>
  <cp:category/>
</cp:coreProperties>
</file>