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spacing w:before="0" w:after="0" w:line="400" w:lineRule="exact"/>
        <w:ind w:firstLine="480"/>
        <w:jc w:val="both"/>
        <w:rPr>
          <w:rFonts w:hint="eastAsia"/>
        </w:rPr>
      </w:pPr>
      <w:r>
        <w:rPr>
          <w:rFonts w:hint="eastAsia" w:ascii="Times New Roman" w:hAnsi="Times New Roman" w:eastAsia="宋体"/>
          <w:b w:val="0"/>
          <w:i w:val="0"/>
          <w:sz w:val="24"/>
        </w:rPr>
        <w:t>中图分类号：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学校代码：</w:t>
      </w:r>
      <w:r>
        <w:rPr>
          <w:rFonts w:hint="eastAsia" w:ascii="Times New Roman" w:hAnsi="Times New Roman" w:eastAsia="宋体"/>
          <w:b w:val="0"/>
          <w:i w:val="0"/>
          <w:sz w:val="24"/>
        </w:rPr>
        <w:tab/>
      </w:r>
      <w:r>
        <w:rPr>
          <w:rFonts w:hint="eastAsia" w:ascii="Times New Roman" w:hAnsi="Times New Roman" w:eastAsia="宋体"/>
          <w:b w:val="0"/>
          <w:i w:val="0"/>
          <w:sz w:val="24"/>
        </w:rPr>
        <w:t>10055</w:t>
      </w:r>
    </w:p>
    <w:p w14:paraId="7167F5F4">
      <w:pPr>
        <w:spacing w:before="0" w:after="0" w:line="400" w:lineRule="exact"/>
        <w:ind w:firstLine="480"/>
        <w:jc w:val="both"/>
        <w:rPr>
          <w:rFonts w:hint="eastAsia"/>
        </w:rPr>
      </w:pPr>
      <w:r>
        <w:rPr>
          <w:rFonts w:hint="eastAsia" w:ascii="Times New Roman" w:hAnsi="Times New Roman" w:eastAsia="宋体"/>
          <w:b w:val="0"/>
          <w:i w:val="0"/>
          <w:sz w:val="24"/>
        </w:rPr>
        <w:t>UDC：</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密级：</w:t>
      </w:r>
      <w:r>
        <w:rPr>
          <w:rFonts w:hint="eastAsia" w:ascii="Times New Roman" w:hAnsi="Times New Roman" w:eastAsia="宋体"/>
          <w:b w:val="0"/>
          <w:i w:val="0"/>
          <w:sz w:val="24"/>
        </w:rPr>
        <w:tab/>
      </w:r>
      <w:r>
        <w:rPr>
          <w:rFonts w:hint="eastAsia" w:ascii="Times New Roman" w:hAnsi="Times New Roman" w:eastAsia="宋体"/>
          <w:b w:val="0"/>
          <w:i w:val="0"/>
          <w:sz w:val="24"/>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spacing w:before="0" w:after="0" w:line="400" w:lineRule="exact"/>
        <w:ind w:firstLine="480"/>
        <w:jc w:val="both"/>
        <w:rPr>
          <w:rFonts w:hint="eastAsia"/>
        </w:rPr>
      </w:pPr>
      <w:r>
        <w:rPr>
          <w:rFonts w:hint="eastAsia" w:ascii="Times New Roman" w:hAnsi="Times New Roman" w:eastAsia="宋体"/>
          <w:b w:val="0"/>
          <w:i w:val="0"/>
          <w:sz w:val="24"/>
        </w:rPr>
        <w:t>硕 士 学 位 论 文</w:t>
      </w:r>
    </w:p>
    <w:p w14:paraId="5360CE01">
      <w:pPr>
        <w:rPr>
          <w:rFonts w:hint="eastAsia"/>
        </w:rPr>
      </w:pPr>
    </w:p>
    <w:p w14:paraId="0F329A1C">
      <w:pPr>
        <w:spacing w:before="0" w:after="0" w:line="400" w:lineRule="exact"/>
        <w:ind w:firstLine="480"/>
        <w:jc w:val="both"/>
        <w:rPr>
          <w:rFonts w:hint="eastAsia"/>
        </w:rPr>
      </w:pPr>
      <w:r>
        <w:rPr>
          <w:rFonts w:hint="eastAsia" w:ascii="Times New Roman" w:hAnsi="Times New Roman" w:eastAsia="宋体"/>
          <w:b w:val="0"/>
          <w:i w:val="0"/>
          <w:sz w:val="24"/>
        </w:rPr>
        <w:t>碳量子点用于催化产过氧化氢和降解水中污染物的研究</w:t>
      </w:r>
    </w:p>
    <w:p w14:paraId="782C0CA8">
      <w:pPr>
        <w:spacing w:before="0" w:after="0" w:line="400" w:lineRule="exact"/>
        <w:ind w:firstLine="480"/>
        <w:jc w:val="both"/>
        <w:rPr>
          <w:rFonts w:hint="eastAsia"/>
        </w:rPr>
      </w:pPr>
      <w:r>
        <w:rPr>
          <w:rFonts w:hint="eastAsia" w:ascii="Times New Roman" w:hAnsi="Times New Roman" w:eastAsia="宋体"/>
          <w:b w:val="0"/>
          <w:i w:val="0"/>
          <w:sz w:val="24"/>
        </w:rPr>
        <w:t>Research on Carbon Quantum Dots for Catalytic Production of Hydrogen Peroxide and Degradation of Pollutants in Water</w:t>
      </w:r>
    </w:p>
    <w:p w14:paraId="75CA2998">
      <w:pPr>
        <w:rPr>
          <w:rFonts w:hint="eastAsia"/>
        </w:rPr>
      </w:pPr>
    </w:p>
    <w:p w14:paraId="58886165">
      <w:pPr>
        <w:spacing w:before="0" w:after="0" w:line="400" w:lineRule="exact"/>
        <w:ind w:firstLine="480"/>
        <w:jc w:val="both"/>
        <w:rPr>
          <w:rFonts w:hint="eastAsia"/>
        </w:rPr>
      </w:pPr>
      <w:r>
        <w:rPr>
          <w:rFonts w:hint="eastAsia" w:ascii="Times New Roman" w:hAnsi="Times New Roman" w:eastAsia="宋体"/>
          <w:b w:val="0"/>
          <w:i w:val="0"/>
          <w:sz w:val="24"/>
        </w:rPr>
        <w:t>论文作者  张熙国    指导教师  王薇 教授</w:t>
      </w:r>
    </w:p>
    <w:p w14:paraId="51DE7173">
      <w:pPr>
        <w:spacing w:before="0" w:after="0" w:line="400" w:lineRule="exact"/>
        <w:ind w:firstLine="480"/>
        <w:jc w:val="both"/>
        <w:rPr>
          <w:rFonts w:hint="eastAsia"/>
        </w:rPr>
      </w:pPr>
      <w:r>
        <w:rPr>
          <w:rFonts w:hint="eastAsia" w:ascii="Times New Roman" w:hAnsi="Times New Roman" w:eastAsia="宋体"/>
          <w:b w:val="0"/>
          <w:i w:val="0"/>
          <w:sz w:val="24"/>
        </w:rPr>
        <w:t xml:space="preserve">申请学位  工学硕士    培养单位  环境科学与工程学院 </w:t>
      </w:r>
    </w:p>
    <w:p w14:paraId="5DB116B0">
      <w:pPr>
        <w:spacing w:before="0" w:after="0" w:line="400" w:lineRule="exact"/>
        <w:ind w:firstLine="480"/>
        <w:jc w:val="both"/>
        <w:rPr>
          <w:rFonts w:hint="eastAsia"/>
        </w:rPr>
      </w:pPr>
      <w:r>
        <w:rPr>
          <w:rFonts w:hint="eastAsia" w:ascii="Times New Roman" w:hAnsi="Times New Roman" w:eastAsia="宋体"/>
          <w:b w:val="0"/>
          <w:i w:val="0"/>
          <w:sz w:val="24"/>
        </w:rPr>
        <w:t xml:space="preserve">学科专业  环境工程    研究方向    环境纳米催化  </w:t>
      </w:r>
    </w:p>
    <w:p w14:paraId="0BAE6E2B">
      <w:pPr>
        <w:spacing w:before="0" w:after="0" w:line="400" w:lineRule="exact"/>
        <w:ind w:firstLine="480"/>
        <w:jc w:val="both"/>
        <w:rPr>
          <w:rFonts w:hint="eastAsia"/>
        </w:rPr>
      </w:pPr>
      <w:r>
        <w:rPr>
          <w:rFonts w:hint="eastAsia" w:ascii="Times New Roman" w:hAnsi="Times New Roman" w:eastAsia="宋体"/>
          <w:b w:val="0"/>
          <w:i w:val="0"/>
          <w:sz w:val="24"/>
        </w:rPr>
        <w:t>答辩委员会主席  XXXXXX XX   评 阅 人  XXXXXXXXXXXX</w:t>
      </w:r>
    </w:p>
    <w:p w14:paraId="48622791">
      <w:pPr>
        <w:rPr>
          <w:rFonts w:hint="eastAsia"/>
        </w:rPr>
      </w:pPr>
    </w:p>
    <w:p w14:paraId="320BBBEA">
      <w:pPr>
        <w:rPr>
          <w:rFonts w:hint="eastAsia"/>
        </w:rPr>
      </w:pPr>
    </w:p>
    <w:p w14:paraId="380DD457">
      <w:pPr>
        <w:spacing w:before="0" w:after="0" w:line="400" w:lineRule="exact"/>
        <w:ind w:firstLine="480"/>
        <w:jc w:val="both"/>
        <w:rPr>
          <w:rFonts w:hint="eastAsia"/>
        </w:rPr>
      </w:pPr>
      <w:r>
        <w:rPr>
          <w:rFonts w:hint="eastAsia" w:ascii="Times New Roman" w:hAnsi="Times New Roman" w:eastAsia="宋体"/>
          <w:b w:val="0"/>
          <w:i w:val="0"/>
          <w:sz w:val="24"/>
        </w:rPr>
        <w:t>南开大学研究生院</w:t>
      </w:r>
    </w:p>
    <w:p w14:paraId="71D9C830">
      <w:pPr>
        <w:spacing w:before="0" w:after="0" w:line="400" w:lineRule="exact"/>
        <w:ind w:firstLine="480"/>
        <w:jc w:val="both"/>
        <w:rPr>
          <w:rFonts w:hint="eastAsia"/>
        </w:rPr>
      </w:pPr>
      <w:r>
        <w:rPr>
          <w:rFonts w:hint="eastAsia" w:ascii="Times New Roman" w:hAnsi="Times New Roman" w:eastAsia="宋体"/>
          <w:b w:val="0"/>
          <w:i w:val="0"/>
          <w:sz w:val="24"/>
        </w:rPr>
        <w:t>二〇二六年五月</w:t>
      </w:r>
    </w:p>
    <w:p w14:paraId="1574E1D3">
      <w:pPr>
        <w:rPr>
          <w:rFonts w:hint="eastAsia"/>
        </w:rPr>
      </w:pPr>
    </w:p>
    <w:p w14:paraId="4F77561E">
      <w:pPr>
        <w:spacing w:before="0" w:after="0" w:line="400" w:lineRule="exact"/>
        <w:ind w:firstLine="480"/>
        <w:jc w:val="both"/>
        <w:rPr>
          <w:rFonts w:hint="eastAsia"/>
        </w:rPr>
      </w:pPr>
      <w:r>
        <w:rPr>
          <w:rFonts w:hint="eastAsia" w:ascii="Times New Roman" w:hAnsi="Times New Roman" w:eastAsia="宋体"/>
          <w:b w:val="0"/>
          <w:i w:val="0"/>
          <w:sz w:val="24"/>
        </w:rPr>
        <w:t>南开大学学位论文原创性声明</w:t>
      </w:r>
    </w:p>
    <w:p w14:paraId="359EE9CD">
      <w:pPr>
        <w:spacing w:before="0" w:after="0" w:line="400" w:lineRule="exact"/>
        <w:ind w:firstLine="480"/>
        <w:jc w:val="both"/>
        <w:rPr>
          <w:rFonts w:hint="eastAsia"/>
        </w:rPr>
      </w:pPr>
      <w:r>
        <w:rPr>
          <w:rFonts w:hint="eastAsia" w:ascii="Times New Roman" w:hAnsi="Times New Roman" w:eastAsia="宋体"/>
          <w:b w:val="0"/>
          <w:i w:val="0"/>
          <w:sz w:val="24"/>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spacing w:before="0" w:after="0" w:line="400" w:lineRule="exact"/>
        <w:ind w:firstLine="480"/>
        <w:jc w:val="both"/>
        <w:rPr>
          <w:rFonts w:hint="eastAsia"/>
        </w:rPr>
      </w:pPr>
      <w:r>
        <w:rPr>
          <w:rFonts w:hint="eastAsia" w:ascii="Times New Roman" w:hAnsi="Times New Roman" w:eastAsia="宋体"/>
          <w:b w:val="0"/>
          <w:i w:val="0"/>
          <w:sz w:val="24"/>
        </w:rPr>
        <w:t>学位论文作者签名：   年 月 日</w:t>
      </w:r>
    </w:p>
    <w:p w14:paraId="24BC9DC9">
      <w:pPr>
        <w:rPr>
          <w:rFonts w:hint="eastAsia"/>
        </w:rPr>
      </w:pPr>
      <w:r>
        <w:rPr>
          <w:rFonts w:hint="eastAsia"/>
        </w:rPr>
        <w:t xml:space="preserve"> </w:t>
      </w:r>
    </w:p>
    <w:p w14:paraId="65D1F523">
      <w:pPr>
        <w:spacing w:before="0" w:after="0" w:line="400" w:lineRule="exact"/>
        <w:ind w:firstLine="480"/>
        <w:jc w:val="both"/>
        <w:rPr>
          <w:rFonts w:hint="eastAsia"/>
        </w:rPr>
      </w:pPr>
      <w:r>
        <w:rPr>
          <w:rFonts w:hint="eastAsia" w:ascii="Times New Roman" w:hAnsi="Times New Roman" w:eastAsia="宋体"/>
          <w:b w:val="0"/>
          <w:i w:val="0"/>
          <w:sz w:val="24"/>
        </w:rPr>
        <w:t>非公开学位论文标注说明</w:t>
      </w:r>
    </w:p>
    <w:p w14:paraId="2DE189CB">
      <w:pPr>
        <w:spacing w:before="0" w:after="0" w:line="400" w:lineRule="exact"/>
        <w:ind w:firstLine="480"/>
        <w:jc w:val="both"/>
        <w:rPr>
          <w:rFonts w:hint="eastAsia"/>
        </w:rPr>
      </w:pPr>
      <w:r>
        <w:rPr>
          <w:rFonts w:hint="eastAsia" w:ascii="Times New Roman" w:hAnsi="Times New Roman" w:eastAsia="宋体"/>
          <w:b w:val="0"/>
          <w:i w:val="0"/>
          <w:sz w:val="24"/>
        </w:rPr>
        <w:t>（本页表中填写内容须打印）</w:t>
      </w:r>
    </w:p>
    <w:p w14:paraId="0C01F770">
      <w:pPr>
        <w:spacing w:before="0" w:after="0" w:line="400" w:lineRule="exact"/>
        <w:ind w:firstLine="480"/>
        <w:jc w:val="both"/>
        <w:rPr>
          <w:rFonts w:hint="eastAsia"/>
        </w:rPr>
      </w:pPr>
      <w:r>
        <w:rPr>
          <w:rFonts w:hint="eastAsia" w:ascii="Times New Roman" w:hAnsi="Times New Roman" w:eastAsia="宋体"/>
          <w:b w:val="0"/>
          <w:i w:val="0"/>
          <w:sz w:val="24"/>
        </w:rPr>
        <w:t>根据南开大学有关规定，非公开学位论文须经指导教师同意、作者本人申请和相关部门批准方能标注。未经批准的均为公开学位论文，公开学位论文本说明为空白。</w:t>
      </w:r>
    </w:p>
    <w:p w14:paraId="56B8E3ED">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p>
    <w:p w14:paraId="5F597161">
      <w:pPr>
        <w:spacing w:before="0" w:after="0" w:line="400" w:lineRule="exact"/>
        <w:ind w:firstLine="480"/>
        <w:jc w:val="both"/>
        <w:rPr>
          <w:rFonts w:hint="eastAsia"/>
        </w:rPr>
      </w:pPr>
      <w:r>
        <w:rPr>
          <w:rFonts w:hint="eastAsia" w:ascii="Times New Roman" w:hAnsi="Times New Roman" w:eastAsia="宋体"/>
          <w:b w:val="0"/>
          <w:i w:val="0"/>
          <w:sz w:val="24"/>
        </w:rPr>
        <w:t>申请密级</w:t>
      </w:r>
      <w:r>
        <w:rPr>
          <w:rFonts w:hint="eastAsia" w:ascii="Times New Roman" w:hAnsi="Times New Roman" w:eastAsia="宋体"/>
          <w:b w:val="0"/>
          <w:i w:val="0"/>
          <w:sz w:val="24"/>
        </w:rPr>
        <w:tab/>
      </w:r>
      <w:r>
        <w:rPr>
          <w:rFonts w:hint="eastAsia" w:ascii="Times New Roman" w:hAnsi="Times New Roman" w:eastAsia="宋体"/>
          <w:b w:val="0"/>
          <w:i w:val="0"/>
          <w:sz w:val="24"/>
        </w:rPr>
        <w:t>□限制(≤2年) 　　 □秘密(≤10年) 　 　□机密(≤20年)</w:t>
      </w:r>
    </w:p>
    <w:p w14:paraId="637F4F2B">
      <w:pPr>
        <w:spacing w:before="0" w:after="0" w:line="400" w:lineRule="exact"/>
        <w:ind w:firstLine="480"/>
        <w:jc w:val="both"/>
        <w:rPr>
          <w:rFonts w:hint="eastAsia"/>
        </w:rPr>
      </w:pPr>
      <w:r>
        <w:rPr>
          <w:rFonts w:hint="eastAsia" w:ascii="Times New Roman" w:hAnsi="Times New Roman" w:eastAsia="宋体"/>
          <w:b w:val="0"/>
          <w:i w:val="0"/>
          <w:sz w:val="24"/>
        </w:rPr>
        <w:t>保密期限</w:t>
      </w:r>
      <w:r>
        <w:rPr>
          <w:rFonts w:hint="eastAsia" w:ascii="Times New Roman" w:hAnsi="Times New Roman" w:eastAsia="宋体"/>
          <w:b w:val="0"/>
          <w:i w:val="0"/>
          <w:sz w:val="24"/>
        </w:rPr>
        <w:tab/>
      </w:r>
      <w:r>
        <w:rPr>
          <w:rFonts w:hint="eastAsia" w:ascii="Times New Roman" w:hAnsi="Times New Roman" w:eastAsia="宋体"/>
          <w:b w:val="0"/>
          <w:i w:val="0"/>
          <w:sz w:val="24"/>
        </w:rPr>
        <w:t>20      年    月    日至20      年     月     日</w:t>
      </w:r>
    </w:p>
    <w:p w14:paraId="55630938">
      <w:pPr>
        <w:spacing w:before="0" w:after="0" w:line="400" w:lineRule="exact"/>
        <w:ind w:firstLine="480"/>
        <w:jc w:val="both"/>
        <w:rPr>
          <w:rFonts w:hint="eastAsia"/>
        </w:rPr>
      </w:pPr>
      <w:r>
        <w:rPr>
          <w:rFonts w:hint="eastAsia" w:ascii="Times New Roman" w:hAnsi="Times New Roman" w:eastAsia="宋体"/>
          <w:b w:val="0"/>
          <w:i w:val="0"/>
          <w:sz w:val="24"/>
        </w:rPr>
        <w:t>审批表编号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批准日期</w:t>
      </w:r>
      <w:r>
        <w:rPr>
          <w:rFonts w:hint="eastAsia" w:ascii="Times New Roman" w:hAnsi="Times New Roman" w:eastAsia="宋体"/>
          <w:b w:val="0"/>
          <w:i w:val="0"/>
          <w:sz w:val="24"/>
        </w:rPr>
        <w:tab/>
      </w:r>
      <w:r>
        <w:rPr>
          <w:rFonts w:hint="eastAsia" w:ascii="Times New Roman" w:hAnsi="Times New Roman" w:eastAsia="宋体"/>
          <w:b w:val="0"/>
          <w:i w:val="0"/>
          <w:sz w:val="24"/>
        </w:rPr>
        <w:t>20    年    月    日</w:t>
      </w:r>
    </w:p>
    <w:p w14:paraId="6E8D9B64">
      <w:pPr>
        <w:spacing w:before="0" w:after="0" w:line="400" w:lineRule="exact"/>
        <w:ind w:firstLine="480"/>
        <w:jc w:val="both"/>
        <w:rPr>
          <w:rFonts w:hint="eastAsia"/>
        </w:rPr>
      </w:pPr>
      <w:r>
        <w:rPr>
          <w:rFonts w:hint="eastAsia" w:ascii="Times New Roman" w:hAnsi="Times New Roman" w:eastAsia="宋体"/>
          <w:b w:val="0"/>
          <w:i w:val="0"/>
          <w:sz w:val="24"/>
        </w:rPr>
        <w:t>南开大学学位评定委员会办公室盖章（有效）</w:t>
      </w:r>
    </w:p>
    <w:p w14:paraId="3B5BE059">
      <w:pPr>
        <w:rPr>
          <w:rFonts w:hint="eastAsia"/>
        </w:rPr>
      </w:pPr>
    </w:p>
    <w:p w14:paraId="23161A30">
      <w:pPr>
        <w:spacing w:before="0" w:after="0" w:line="400" w:lineRule="exact"/>
        <w:ind w:firstLine="480"/>
        <w:jc w:val="both"/>
        <w:rPr>
          <w:rFonts w:hint="eastAsia"/>
        </w:rPr>
      </w:pPr>
      <w:r>
        <w:rPr>
          <w:rFonts w:hint="eastAsia" w:ascii="Times New Roman" w:hAnsi="Times New Roman" w:eastAsia="宋体"/>
          <w:b w:val="0"/>
          <w:i w:val="0"/>
          <w:sz w:val="24"/>
        </w:rPr>
        <w:t>注：限制★2年（可少于2年）；秘密★10年（可少于10年）；机密★20年（可少于20年）</w:t>
      </w:r>
    </w:p>
    <w:p w14:paraId="50136E22">
      <w:pPr>
        <w:rPr>
          <w:rFonts w:hint="eastAsia"/>
        </w:rPr>
      </w:pPr>
    </w:p>
    <w:p w14:paraId="40630E6B">
      <w:pPr>
        <w:spacing w:before="0" w:after="0" w:line="400" w:lineRule="exact"/>
        <w:ind w:firstLine="480"/>
        <w:jc w:val="both"/>
        <w:rPr>
          <w:rFonts w:hint="eastAsia"/>
        </w:rPr>
      </w:pPr>
      <w:r>
        <w:rPr>
          <w:rFonts w:hint="eastAsia" w:ascii="Times New Roman" w:hAnsi="Times New Roman" w:eastAsia="宋体"/>
          <w:b w:val="0"/>
          <w:i w:val="0"/>
          <w:sz w:val="24"/>
        </w:rPr>
        <w:t>南开大学学位论文使用授权书</w:t>
      </w:r>
    </w:p>
    <w:p w14:paraId="0985E59B">
      <w:pPr>
        <w:spacing w:before="0" w:after="0" w:line="400" w:lineRule="exact"/>
        <w:ind w:firstLine="480"/>
        <w:jc w:val="both"/>
        <w:rPr>
          <w:rFonts w:hint="eastAsia"/>
        </w:rPr>
      </w:pPr>
      <w:r>
        <w:rPr>
          <w:rFonts w:hint="eastAsia" w:ascii="Times New Roman" w:hAnsi="Times New Roman" w:eastAsia="宋体"/>
          <w:b w:val="0"/>
          <w:i w:val="0"/>
          <w:sz w:val="24"/>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spacing w:before="0" w:after="0" w:line="400" w:lineRule="exact"/>
        <w:ind w:firstLine="480"/>
        <w:jc w:val="both"/>
        <w:rPr>
          <w:rFonts w:hint="eastAsia"/>
        </w:rPr>
      </w:pPr>
      <w:r>
        <w:rPr>
          <w:rFonts w:hint="eastAsia" w:ascii="Times New Roman" w:hAnsi="Times New Roman" w:eastAsia="宋体"/>
          <w:b w:val="0"/>
          <w:i w:val="0"/>
          <w:sz w:val="24"/>
        </w:rPr>
        <w:t>本人了解南开大学拥有在《中华人民共和国著作权法》规定范围内的学位论文使用权，同意在以下几方面向学校授权。即：</w:t>
      </w:r>
    </w:p>
    <w:p w14:paraId="535A15A0">
      <w:pPr>
        <w:spacing w:before="0" w:after="0" w:line="400" w:lineRule="exact"/>
        <w:ind w:firstLine="480"/>
        <w:jc w:val="both"/>
        <w:rPr>
          <w:rFonts w:hint="eastAsia"/>
        </w:rPr>
      </w:pPr>
      <w:r>
        <w:rPr>
          <w:rFonts w:hint="eastAsia" w:ascii="Times New Roman" w:hAnsi="Times New Roman" w:eastAsia="宋体"/>
          <w:b w:val="0"/>
          <w:i w:val="0"/>
          <w:sz w:val="24"/>
        </w:rPr>
        <w:t>1.学校将学位论文编入《南开大学博硕士学位论文全文数据库》，并作为资料在学校图书馆等场所提供阅览，在校园网上提供论文目录检索、文摘及前16页的浏览等信息服务；</w:t>
      </w:r>
    </w:p>
    <w:p w14:paraId="52AA521A">
      <w:pPr>
        <w:spacing w:before="0" w:after="0" w:line="400" w:lineRule="exact"/>
        <w:ind w:firstLine="480"/>
        <w:jc w:val="both"/>
        <w:rPr>
          <w:rFonts w:hint="eastAsia"/>
        </w:rPr>
      </w:pPr>
      <w:r>
        <w:rPr>
          <w:rFonts w:hint="eastAsia" w:ascii="Times New Roman" w:hAnsi="Times New Roman" w:eastAsia="宋体"/>
          <w:b w:val="0"/>
          <w:i w:val="0"/>
          <w:sz w:val="24"/>
        </w:rPr>
        <w:t>2.学校可以采用影印、缩印或其他复制手段保存学位论文；学校根据规定向教育部指定的收藏和存档单位提交学位论文；</w:t>
      </w:r>
    </w:p>
    <w:p w14:paraId="4C0DEE78">
      <w:pPr>
        <w:spacing w:before="0" w:after="0" w:line="400" w:lineRule="exact"/>
        <w:ind w:firstLine="480"/>
        <w:jc w:val="both"/>
        <w:rPr>
          <w:rFonts w:hint="eastAsia"/>
        </w:rPr>
      </w:pPr>
      <w:r>
        <w:rPr>
          <w:rFonts w:hint="eastAsia" w:ascii="Times New Roman" w:hAnsi="Times New Roman" w:eastAsia="宋体"/>
          <w:b w:val="0"/>
          <w:i w:val="0"/>
          <w:sz w:val="24"/>
        </w:rPr>
        <w:t>3.非公开学位论文在解密后的使用权同公开论文。</w:t>
      </w:r>
    </w:p>
    <w:p w14:paraId="15A77873">
      <w:pPr>
        <w:spacing w:before="0" w:after="0" w:line="400" w:lineRule="exact"/>
        <w:ind w:firstLine="480"/>
        <w:jc w:val="both"/>
        <w:rPr>
          <w:rFonts w:hint="eastAsia"/>
        </w:rPr>
      </w:pPr>
      <w:r>
        <w:rPr>
          <w:rFonts w:hint="eastAsia" w:ascii="Times New Roman" w:hAnsi="Times New Roman" w:eastAsia="宋体"/>
          <w:b w:val="0"/>
          <w:i w:val="0"/>
          <w:sz w:val="24"/>
        </w:rPr>
        <w:t>本人承诺：本人的学位论文是在南开大学学习期间创作完成的作品，并已通过论文答辩；提交的学位论文电子版与纸质本论文的内容一致，如因不同造成不良后果由本人自负。</w:t>
      </w:r>
    </w:p>
    <w:p w14:paraId="0C41710A">
      <w:pPr>
        <w:spacing w:before="0" w:after="0" w:line="400" w:lineRule="exact"/>
        <w:ind w:firstLine="480"/>
        <w:jc w:val="both"/>
        <w:rPr>
          <w:rFonts w:hint="eastAsia"/>
        </w:rPr>
      </w:pPr>
      <w:r>
        <w:rPr>
          <w:rFonts w:hint="eastAsia" w:ascii="Times New Roman" w:hAnsi="Times New Roman" w:eastAsia="宋体"/>
          <w:b w:val="0"/>
          <w:i w:val="0"/>
          <w:sz w:val="24"/>
        </w:rPr>
        <w:t>本人签署本授权书一份（此授权书为论文中一页），交图书馆留存。</w:t>
      </w:r>
    </w:p>
    <w:p w14:paraId="76FC6138">
      <w:pPr>
        <w:spacing w:before="0" w:after="0" w:line="400" w:lineRule="exact"/>
        <w:ind w:firstLine="480"/>
        <w:jc w:val="both"/>
        <w:rPr>
          <w:rFonts w:hint="eastAsia"/>
        </w:rPr>
      </w:pPr>
      <w:r>
        <w:rPr>
          <w:rFonts w:hint="eastAsia" w:ascii="Times New Roman" w:hAnsi="Times New Roman" w:eastAsia="宋体"/>
          <w:b w:val="0"/>
          <w:i w:val="0"/>
          <w:sz w:val="24"/>
        </w:rPr>
        <w:t>学位论文作者暨授权人（亲笔）签字：</w:t>
      </w:r>
    </w:p>
    <w:p w14:paraId="1C581C27">
      <w:pPr>
        <w:rPr>
          <w:rFonts w:hint="eastAsia"/>
        </w:rPr>
        <w:spacing w:before="0" w:after="0" w:line="400" w:lineRule="exact"/>
        <w:ind w:firstLine="480"/>
        <w:jc w:val="both"/>
        <w:outlineLvl w:val="0"/>
      </w:pPr>
      <w:r>
        <w:rPr>
          <w:rFonts w:hint="eastAsia" w:ascii="Times New Roman" w:hAnsi="Times New Roman" w:eastAsia="宋体"/>
          <w:b w:val="0"/>
          <w:i w:val="0"/>
          <w:sz w:val="24"/>
        </w:rPr>
        <w:t>第一章　年 月 日</w:t>
      </w:r>
    </w:p>
    <w:p w14:paraId="7413B730">
      <w:pPr>
        <w:spacing w:before="0" w:after="0" w:line="400" w:lineRule="exact"/>
        <w:ind w:firstLine="480"/>
        <w:jc w:val="both"/>
        <w:rPr>
          <w:rFonts w:hint="eastAsia"/>
        </w:rPr>
      </w:pPr>
      <w:r>
        <w:rPr>
          <w:rFonts w:hint="eastAsia" w:ascii="Times New Roman" w:hAnsi="Times New Roman" w:eastAsia="宋体"/>
          <w:b w:val="0"/>
          <w:i w:val="0"/>
          <w:sz w:val="24"/>
        </w:rPr>
        <w:t>南开大学研究生学位论文作者信息</w:t>
      </w:r>
    </w:p>
    <w:p w14:paraId="2D93F6F9">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r>
        <w:rPr>
          <w:rFonts w:hint="eastAsia" w:ascii="Times New Roman" w:hAnsi="Times New Roman" w:eastAsia="宋体"/>
          <w:b w:val="0"/>
          <w:i w:val="0"/>
          <w:sz w:val="24"/>
        </w:rPr>
        <w:t>碳量子点用于催化生产过氧化氢和降解水中污染物的研究</w:t>
      </w:r>
    </w:p>
    <w:p w14:paraId="4A075910">
      <w:pPr>
        <w:spacing w:before="0" w:after="0" w:line="400" w:lineRule="exact"/>
        <w:ind w:firstLine="480"/>
        <w:jc w:val="both"/>
        <w:rPr>
          <w:rFonts w:hint="eastAsia"/>
        </w:rPr>
      </w:pPr>
      <w:r>
        <w:rPr>
          <w:rFonts w:hint="eastAsia" w:ascii="Times New Roman" w:hAnsi="Times New Roman" w:eastAsia="宋体"/>
          <w:b w:val="0"/>
          <w:i w:val="0"/>
          <w:sz w:val="24"/>
        </w:rPr>
        <w:t>姓名</w:t>
      </w:r>
      <w:r>
        <w:rPr>
          <w:rFonts w:hint="eastAsia" w:ascii="Times New Roman" w:hAnsi="Times New Roman" w:eastAsia="宋体"/>
          <w:b w:val="0"/>
          <w:i w:val="0"/>
          <w:sz w:val="24"/>
        </w:rPr>
        <w:tab/>
      </w:r>
      <w:r>
        <w:rPr>
          <w:rFonts w:hint="eastAsia" w:ascii="Times New Roman" w:hAnsi="Times New Roman" w:eastAsia="宋体"/>
          <w:b w:val="0"/>
          <w:i w:val="0"/>
          <w:sz w:val="24"/>
        </w:rPr>
        <w:t>张熙国</w:t>
      </w:r>
      <w:r>
        <w:rPr>
          <w:rFonts w:hint="eastAsia" w:ascii="Times New Roman" w:hAnsi="Times New Roman" w:eastAsia="宋体"/>
          <w:b w:val="0"/>
          <w:i w:val="0"/>
          <w:sz w:val="24"/>
        </w:rPr>
        <w:tab/>
      </w:r>
      <w:r>
        <w:rPr>
          <w:rFonts w:hint="eastAsia" w:ascii="Times New Roman" w:hAnsi="Times New Roman" w:eastAsia="宋体"/>
          <w:b w:val="0"/>
          <w:i w:val="0"/>
          <w:sz w:val="24"/>
        </w:rPr>
        <w:t>学号</w:t>
      </w:r>
      <w:r>
        <w:rPr>
          <w:rFonts w:hint="eastAsia" w:ascii="Times New Roman" w:hAnsi="Times New Roman" w:eastAsia="宋体"/>
          <w:b w:val="0"/>
          <w:i w:val="0"/>
          <w:sz w:val="24"/>
        </w:rPr>
        <w:tab/>
      </w:r>
      <w:r>
        <w:rPr>
          <w:rFonts w:hint="eastAsia" w:ascii="Times New Roman" w:hAnsi="Times New Roman" w:eastAsia="宋体"/>
          <w:b w:val="0"/>
          <w:i w:val="0"/>
          <w:sz w:val="24"/>
        </w:rPr>
        <w:t>2120230920</w:t>
      </w:r>
      <w:r>
        <w:rPr>
          <w:rFonts w:hint="eastAsia" w:ascii="Times New Roman" w:hAnsi="Times New Roman" w:eastAsia="宋体"/>
          <w:b w:val="0"/>
          <w:i w:val="0"/>
          <w:sz w:val="24"/>
        </w:rPr>
        <w:tab/>
      </w:r>
      <w:r>
        <w:rPr>
          <w:rFonts w:hint="eastAsia" w:ascii="Times New Roman" w:hAnsi="Times New Roman" w:eastAsia="宋体"/>
          <w:b w:val="0"/>
          <w:i w:val="0"/>
          <w:sz w:val="24"/>
        </w:rPr>
        <w:t>答辩日期</w:t>
      </w:r>
      <w:r>
        <w:rPr>
          <w:rFonts w:hint="eastAsia" w:ascii="Times New Roman" w:hAnsi="Times New Roman" w:eastAsia="宋体"/>
          <w:b w:val="0"/>
          <w:i w:val="0"/>
          <w:sz w:val="24"/>
        </w:rPr>
        <w:tab/>
      </w:r>
      <w:r>
        <w:rPr>
          <w:rFonts w:hint="eastAsia" w:ascii="Times New Roman" w:hAnsi="Times New Roman" w:eastAsia="宋体"/>
          <w:b w:val="0"/>
          <w:i w:val="0"/>
          <w:sz w:val="24"/>
        </w:rPr>
        <w:t>2026年5月25日</w:t>
      </w:r>
    </w:p>
    <w:p w14:paraId="3B6A0CBA">
      <w:pPr>
        <w:spacing w:before="0" w:after="0" w:line="400" w:lineRule="exact"/>
        <w:ind w:firstLine="480"/>
        <w:jc w:val="both"/>
        <w:rPr>
          <w:rFonts w:hint="eastAsia"/>
        </w:rPr>
      </w:pPr>
      <w:r>
        <w:rPr>
          <w:rFonts w:hint="eastAsia" w:ascii="Times New Roman" w:hAnsi="Times New Roman" w:eastAsia="宋体"/>
          <w:b w:val="0"/>
          <w:i w:val="0"/>
          <w:sz w:val="24"/>
        </w:rPr>
        <w:t>论文类别</w:t>
      </w:r>
      <w:r>
        <w:rPr>
          <w:rFonts w:hint="eastAsia" w:ascii="Times New Roman" w:hAnsi="Times New Roman" w:eastAsia="宋体"/>
          <w:b w:val="0"/>
          <w:i w:val="0"/>
          <w:sz w:val="24"/>
        </w:rPr>
        <w:tab/>
      </w:r>
      <w:r>
        <w:rPr>
          <w:rFonts w:hint="eastAsia" w:ascii="Times New Roman" w:hAnsi="Times New Roman" w:eastAsia="宋体"/>
          <w:b w:val="0"/>
          <w:i w:val="0"/>
          <w:sz w:val="24"/>
        </w:rPr>
        <w:t>博士 □      学历硕士 √      专业学位硕士 □      同等学力硕士 □</w:t>
      </w:r>
      <w:r>
        <w:rPr>
          <w:rFonts w:hint="eastAsia" w:ascii="Times New Roman" w:hAnsi="Times New Roman" w:eastAsia="宋体"/>
          <w:b w:val="0"/>
          <w:i w:val="0"/>
          <w:sz w:val="24"/>
        </w:rPr>
        <w:tab/>
      </w:r>
      <w:r>
        <w:rPr>
          <w:rFonts w:hint="eastAsia" w:ascii="Times New Roman" w:hAnsi="Times New Roman" w:eastAsia="宋体"/>
          <w:b w:val="0"/>
          <w:i w:val="0"/>
          <w:sz w:val="24"/>
        </w:rPr>
        <w:t>划√选择</w:t>
      </w:r>
    </w:p>
    <w:p w14:paraId="06357BF5">
      <w:pPr>
        <w:spacing w:before="0" w:after="0" w:line="400" w:lineRule="exact"/>
        <w:ind w:firstLine="480"/>
        <w:jc w:val="both"/>
        <w:rPr>
          <w:rFonts w:hint="eastAsia"/>
        </w:rPr>
      </w:pPr>
      <w:r>
        <w:rPr>
          <w:rFonts w:hint="eastAsia" w:ascii="Times New Roman" w:hAnsi="Times New Roman" w:eastAsia="宋体"/>
          <w:b w:val="0"/>
          <w:i w:val="0"/>
          <w:sz w:val="24"/>
        </w:rPr>
        <w:t>学院(单位)</w:t>
      </w:r>
      <w:r>
        <w:rPr>
          <w:rFonts w:hint="eastAsia" w:ascii="Times New Roman" w:hAnsi="Times New Roman" w:eastAsia="宋体"/>
          <w:b w:val="0"/>
          <w:i w:val="0"/>
          <w:sz w:val="24"/>
        </w:rPr>
        <w:tab/>
      </w:r>
      <w:r>
        <w:rPr>
          <w:rFonts w:hint="eastAsia" w:ascii="Times New Roman" w:hAnsi="Times New Roman" w:eastAsia="宋体"/>
          <w:b w:val="0"/>
          <w:i w:val="0"/>
          <w:sz w:val="24"/>
        </w:rPr>
        <w:t>环境科学与工程学院</w:t>
      </w:r>
      <w:r>
        <w:rPr>
          <w:rFonts w:hint="eastAsia" w:ascii="Times New Roman" w:hAnsi="Times New Roman" w:eastAsia="宋体"/>
          <w:b w:val="0"/>
          <w:i w:val="0"/>
          <w:sz w:val="24"/>
        </w:rPr>
        <w:tab/>
      </w:r>
      <w:r>
        <w:rPr>
          <w:rFonts w:hint="eastAsia" w:ascii="Times New Roman" w:hAnsi="Times New Roman" w:eastAsia="宋体"/>
          <w:b w:val="0"/>
          <w:i w:val="0"/>
          <w:sz w:val="24"/>
        </w:rPr>
        <w:t>学科/专业(专业学位)名称</w:t>
      </w:r>
      <w:r>
        <w:rPr>
          <w:rFonts w:hint="eastAsia" w:ascii="Times New Roman" w:hAnsi="Times New Roman" w:eastAsia="宋体"/>
          <w:b w:val="0"/>
          <w:i w:val="0"/>
          <w:sz w:val="24"/>
        </w:rPr>
        <w:tab/>
      </w:r>
      <w:r>
        <w:rPr>
          <w:rFonts w:hint="eastAsia" w:ascii="Times New Roman" w:hAnsi="Times New Roman" w:eastAsia="宋体"/>
          <w:b w:val="0"/>
          <w:i w:val="0"/>
          <w:sz w:val="24"/>
        </w:rPr>
        <w:t>环境工程</w:t>
      </w:r>
    </w:p>
    <w:p w14:paraId="6928D9AC">
      <w:pPr>
        <w:spacing w:before="0" w:after="0" w:line="400" w:lineRule="exact"/>
        <w:ind w:firstLine="480"/>
        <w:jc w:val="both"/>
        <w:rPr>
          <w:rFonts w:hint="eastAsia"/>
        </w:rPr>
      </w:pPr>
      <w:r>
        <w:rPr>
          <w:rFonts w:hint="eastAsia" w:ascii="Times New Roman" w:hAnsi="Times New Roman" w:eastAsia="宋体"/>
          <w:b w:val="0"/>
          <w:i w:val="0"/>
          <w:sz w:val="24"/>
        </w:rPr>
        <w:t>联系电话</w:t>
      </w:r>
      <w:r>
        <w:rPr>
          <w:rFonts w:hint="eastAsia" w:ascii="Times New Roman" w:hAnsi="Times New Roman" w:eastAsia="宋体"/>
          <w:b w:val="0"/>
          <w:i w:val="0"/>
          <w:sz w:val="24"/>
        </w:rPr>
        <w:tab/>
      </w:r>
      <w:r>
        <w:rPr>
          <w:rFonts w:hint="eastAsia" w:ascii="Times New Roman" w:hAnsi="Times New Roman" w:eastAsia="宋体"/>
          <w:b w:val="0"/>
          <w:i w:val="0"/>
          <w:sz w:val="24"/>
        </w:rPr>
        <w:t>13813813089</w:t>
      </w:r>
      <w:r>
        <w:rPr>
          <w:rFonts w:hint="eastAsia" w:ascii="Times New Roman" w:hAnsi="Times New Roman" w:eastAsia="宋体"/>
          <w:b w:val="0"/>
          <w:i w:val="0"/>
          <w:sz w:val="24"/>
        </w:rPr>
        <w:tab/>
      </w:r>
      <w:r>
        <w:rPr>
          <w:rFonts w:hint="eastAsia" w:ascii="Times New Roman" w:hAnsi="Times New Roman" w:eastAsia="宋体"/>
          <w:b w:val="0"/>
          <w:i w:val="0"/>
          <w:sz w:val="24"/>
        </w:rPr>
        <w:t>电子邮箱</w:t>
      </w:r>
      <w:r>
        <w:rPr>
          <w:rFonts w:hint="eastAsia" w:ascii="Times New Roman" w:hAnsi="Times New Roman" w:eastAsia="宋体"/>
          <w:b w:val="0"/>
          <w:i w:val="0"/>
          <w:sz w:val="24"/>
        </w:rPr>
        <w:tab/>
      </w:r>
      <w:r>
        <w:rPr>
          <w:rFonts w:hint="eastAsia" w:ascii="Times New Roman" w:hAnsi="Times New Roman" w:eastAsia="宋体"/>
          <w:b w:val="0"/>
          <w:i w:val="0"/>
          <w:sz w:val="24"/>
        </w:rPr>
        <w:t>zhangxiguohhu@163.com</w:t>
      </w:r>
    </w:p>
    <w:p w14:paraId="45E429C6">
      <w:pPr>
        <w:spacing w:before="0" w:after="0" w:line="400" w:lineRule="exact"/>
        <w:ind w:firstLine="480"/>
        <w:jc w:val="both"/>
        <w:rPr>
          <w:rFonts w:hint="eastAsia"/>
        </w:rPr>
      </w:pPr>
      <w:r>
        <w:rPr>
          <w:rFonts w:hint="eastAsia" w:ascii="Times New Roman" w:hAnsi="Times New Roman" w:eastAsia="宋体"/>
          <w:b w:val="0"/>
          <w:i w:val="0"/>
          <w:sz w:val="24"/>
        </w:rPr>
        <w:t>通信地址(邮编)：</w:t>
      </w:r>
      <w:r>
        <w:rPr>
          <w:rFonts w:hint="eastAsia" w:ascii="Times New Roman" w:hAnsi="Times New Roman" w:eastAsia="宋体"/>
          <w:b w:val="0"/>
          <w:i w:val="0"/>
          <w:sz w:val="24"/>
        </w:rPr>
        <w:tab/>
      </w:r>
    </w:p>
    <w:p w14:paraId="1A14F933">
      <w:pPr>
        <w:spacing w:before="0" w:after="0" w:line="400" w:lineRule="exact"/>
        <w:ind w:firstLine="480"/>
        <w:jc w:val="both"/>
        <w:rPr>
          <w:rFonts w:hint="eastAsia"/>
        </w:rPr>
      </w:pPr>
      <w:r>
        <w:rPr>
          <w:rFonts w:hint="eastAsia" w:ascii="Times New Roman" w:hAnsi="Times New Roman" w:eastAsia="宋体"/>
          <w:b w:val="0"/>
          <w:i w:val="0"/>
          <w:sz w:val="24"/>
        </w:rPr>
        <w:t>非公开论文编号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备注</w:t>
      </w:r>
      <w:r>
        <w:rPr>
          <w:rFonts w:hint="eastAsia" w:ascii="Times New Roman" w:hAnsi="Times New Roman" w:eastAsia="宋体"/>
          <w:b w:val="0"/>
          <w:i w:val="0"/>
          <w:sz w:val="24"/>
        </w:rPr>
        <w:tab/>
      </w:r>
    </w:p>
    <w:p w14:paraId="728D518D">
      <w:pPr>
        <w:spacing w:before="0" w:after="0" w:line="400" w:lineRule="exact"/>
        <w:ind w:firstLine="480"/>
        <w:jc w:val="both"/>
        <w:rPr>
          <w:rFonts w:hint="eastAsia"/>
        </w:rPr>
      </w:pPr>
      <w:r>
        <w:rPr>
          <w:rFonts w:hint="eastAsia" w:ascii="Times New Roman" w:hAnsi="Times New Roman" w:eastAsia="宋体"/>
          <w:b w:val="0"/>
          <w:i w:val="0"/>
          <w:sz w:val="24"/>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0" w:after="0" w:line="400" w:lineRule="exact"/>
        <w:ind w:left="0" w:leftChars="0" w:right="0" w:firstLineChars="0" w:firstLine="0"/>
        <w:jc w:val="left"/>
        <w:outlineLvl w:val="0"/>
      </w:pPr>
      <w:r>
        <w:rPr>
          <w:rFonts w:ascii="Times New Roman" w:hAnsi="Times New Roman" w:eastAsia="宋体" w:cs="Arial"/>
          <w:b w:val="0"/>
          <w:i w:val="0"/>
          <w:sz w:val="24"/>
        </w:rPr>
        <w:t>第二章　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第一章　绪论</w:t>
      </w:r>
      <w:r>
        <w:rPr>
          <w:rFonts w:ascii="Times New Roman" w:hAnsi="Times New Roman" w:eastAsia="宋体"/>
          <w:b w:val="0"/>
          <w:i w:val="0"/>
          <w:sz w:val="24"/>
        </w:rPr>
        <w:tab/>
      </w:r>
      <w:r>
        <w:rPr>
          <w:rFonts w:ascii="Times New Roman" w:hAnsi="Times New Roman" w:eastAsia="宋体"/>
          <w:b w:val="0"/>
          <w:i w:val="0"/>
          <w:sz w:val="24"/>
        </w:rPr>
        <w:t>1</w:t>
      </w:r>
    </w:p>
    <w:p w14:paraId="7C8F7AA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能团修饰</w:t>
      </w:r>
      <w:r>
        <w:rPr>
          <w:rFonts w:ascii="Times New Roman" w:hAnsi="Times New Roman" w:eastAsia="宋体"/>
          <w:b w:val="0"/>
          <w:i w:val="0"/>
          <w:sz w:val="24"/>
        </w:rPr>
        <w:tab/>
      </w:r>
      <w:r>
        <w:rPr>
          <w:rFonts w:ascii="Times New Roman" w:hAnsi="Times New Roman" w:eastAsia="宋体"/>
          <w:b w:val="0"/>
          <w:i w:val="0"/>
          <w:sz w:val="24"/>
        </w:rPr>
        <w:t>1</w:t>
      </w:r>
    </w:p>
    <w:p w14:paraId="164D008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掺杂</w:t>
      </w:r>
      <w:r>
        <w:rPr>
          <w:rFonts w:ascii="Times New Roman" w:hAnsi="Times New Roman" w:eastAsia="宋体"/>
          <w:b w:val="0"/>
          <w:i w:val="0"/>
          <w:sz w:val="24"/>
        </w:rPr>
        <w:tab/>
      </w:r>
      <w:r>
        <w:rPr>
          <w:rFonts w:ascii="Times New Roman" w:hAnsi="Times New Roman" w:eastAsia="宋体"/>
          <w:b w:val="0"/>
          <w:i w:val="0"/>
          <w:sz w:val="24"/>
        </w:rPr>
        <w:t>1</w:t>
      </w:r>
    </w:p>
    <w:p w14:paraId="7F9F38C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构构建</w:t>
      </w:r>
      <w:r>
        <w:rPr>
          <w:rFonts w:ascii="Times New Roman" w:hAnsi="Times New Roman" w:eastAsia="宋体"/>
          <w:b w:val="0"/>
          <w:i w:val="0"/>
          <w:sz w:val="24"/>
        </w:rPr>
        <w:tab/>
      </w:r>
      <w:r>
        <w:rPr>
          <w:rFonts w:ascii="Times New Roman" w:hAnsi="Times New Roman" w:eastAsia="宋体"/>
          <w:b w:val="0"/>
          <w:i w:val="0"/>
          <w:sz w:val="24"/>
        </w:rPr>
        <w:t>1</w:t>
      </w:r>
    </w:p>
    <w:p w14:paraId="6BB62BB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产过氧化氢的基本原理</w:t>
      </w:r>
      <w:r>
        <w:rPr>
          <w:rFonts w:ascii="Times New Roman" w:hAnsi="Times New Roman" w:eastAsia="宋体"/>
          <w:b w:val="0"/>
          <w:i w:val="0"/>
          <w:sz w:val="24"/>
        </w:rPr>
        <w:tab/>
      </w:r>
      <w:r>
        <w:rPr>
          <w:rFonts w:ascii="Times New Roman" w:hAnsi="Times New Roman" w:eastAsia="宋体"/>
          <w:b w:val="0"/>
          <w:i w:val="0"/>
          <w:sz w:val="24"/>
        </w:rPr>
        <w:t>1</w:t>
      </w:r>
    </w:p>
    <w:p w14:paraId="5F8B13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催化剂及改性策略</w:t>
      </w:r>
      <w:r>
        <w:rPr>
          <w:rFonts w:ascii="Times New Roman" w:hAnsi="Times New Roman" w:eastAsia="宋体"/>
          <w:b w:val="0"/>
          <w:i w:val="0"/>
          <w:sz w:val="24"/>
        </w:rPr>
        <w:tab/>
      </w:r>
      <w:r>
        <w:rPr>
          <w:rFonts w:ascii="Times New Roman" w:hAnsi="Times New Roman" w:eastAsia="宋体"/>
          <w:b w:val="0"/>
          <w:i w:val="0"/>
          <w:sz w:val="24"/>
        </w:rPr>
        <w:t>1</w:t>
      </w:r>
    </w:p>
    <w:p w14:paraId="7FB170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于光催化产H2O2</w:t>
      </w:r>
      <w:r>
        <w:rPr>
          <w:rFonts w:ascii="Times New Roman" w:hAnsi="Times New Roman" w:eastAsia="宋体"/>
          <w:b w:val="0"/>
          <w:i w:val="0"/>
          <w:sz w:val="24"/>
        </w:rPr>
        <w:tab/>
      </w:r>
      <w:r>
        <w:rPr>
          <w:rFonts w:ascii="Times New Roman" w:hAnsi="Times New Roman" w:eastAsia="宋体"/>
          <w:b w:val="0"/>
          <w:i w:val="0"/>
          <w:sz w:val="24"/>
        </w:rPr>
        <w:t>1</w:t>
      </w:r>
    </w:p>
    <w:p w14:paraId="7D8C998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点直接催化作用及局限性</w:t>
      </w:r>
      <w:r>
        <w:rPr>
          <w:rFonts w:ascii="Times New Roman" w:hAnsi="Times New Roman" w:eastAsia="宋体"/>
          <w:b w:val="0"/>
          <w:i w:val="0"/>
          <w:sz w:val="24"/>
        </w:rPr>
        <w:tab/>
      </w:r>
      <w:r>
        <w:rPr>
          <w:rFonts w:ascii="Times New Roman" w:hAnsi="Times New Roman" w:eastAsia="宋体"/>
          <w:b w:val="0"/>
          <w:i w:val="0"/>
          <w:sz w:val="24"/>
        </w:rPr>
        <w:t>1</w:t>
      </w:r>
    </w:p>
    <w:p w14:paraId="1A4805A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点性能的提升策略</w:t>
      </w:r>
      <w:r>
        <w:rPr>
          <w:rFonts w:ascii="Times New Roman" w:hAnsi="Times New Roman" w:eastAsia="宋体"/>
          <w:b w:val="0"/>
          <w:i w:val="0"/>
          <w:sz w:val="24"/>
        </w:rPr>
        <w:tab/>
      </w:r>
      <w:r>
        <w:rPr>
          <w:rFonts w:ascii="Times New Roman" w:hAnsi="Times New Roman" w:eastAsia="宋体"/>
          <w:b w:val="0"/>
          <w:i w:val="0"/>
          <w:sz w:val="24"/>
        </w:rPr>
        <w:t>1</w:t>
      </w:r>
    </w:p>
    <w:p w14:paraId="2B81C5D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载单原子电活化PMS降解污染物</w:t>
      </w:r>
      <w:r>
        <w:rPr>
          <w:rFonts w:ascii="Times New Roman" w:hAnsi="Times New Roman" w:eastAsia="宋体"/>
          <w:b w:val="0"/>
          <w:i w:val="0"/>
          <w:sz w:val="24"/>
        </w:rPr>
        <w:tab/>
      </w:r>
      <w:r>
        <w:rPr>
          <w:rFonts w:ascii="Times New Roman" w:hAnsi="Times New Roman" w:eastAsia="宋体"/>
          <w:b w:val="0"/>
          <w:i w:val="0"/>
          <w:sz w:val="24"/>
        </w:rPr>
        <w:t>1</w:t>
      </w:r>
    </w:p>
    <w:p w14:paraId="6FDEC7DB">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义</w:t>
      </w:r>
      <w:r>
        <w:rPr>
          <w:rFonts w:ascii="Times New Roman" w:hAnsi="Times New Roman" w:eastAsia="宋体"/>
          <w:b w:val="0"/>
          <w:i w:val="0"/>
          <w:sz w:val="24"/>
        </w:rPr>
        <w:tab/>
      </w:r>
      <w:r>
        <w:rPr>
          <w:rFonts w:ascii="Times New Roman" w:hAnsi="Times New Roman" w:eastAsia="宋体"/>
          <w:b w:val="0"/>
          <w:i w:val="0"/>
          <w:sz w:val="24"/>
        </w:rPr>
        <w:t>1</w:t>
      </w:r>
    </w:p>
    <w:p w14:paraId="59B79781">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容</w:t>
      </w:r>
      <w:r>
        <w:rPr>
          <w:rFonts w:ascii="Times New Roman" w:hAnsi="Times New Roman" w:eastAsia="宋体"/>
          <w:b w:val="0"/>
          <w:i w:val="0"/>
          <w:sz w:val="24"/>
        </w:rPr>
        <w:tab/>
      </w:r>
      <w:r>
        <w:rPr>
          <w:rFonts w:ascii="Times New Roman" w:hAnsi="Times New Roman" w:eastAsia="宋体"/>
          <w:b w:val="0"/>
          <w:i w:val="0"/>
          <w:sz w:val="24"/>
        </w:rPr>
        <w:t>1</w:t>
      </w:r>
    </w:p>
    <w:p w14:paraId="2EFE3F8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线</w:t>
      </w:r>
      <w:r>
        <w:rPr>
          <w:rFonts w:ascii="Times New Roman" w:hAnsi="Times New Roman" w:eastAsia="宋体"/>
          <w:b w:val="0"/>
          <w:i w:val="0"/>
          <w:sz w:val="24"/>
        </w:rPr>
        <w:tab/>
      </w:r>
      <w:r>
        <w:rPr>
          <w:rFonts w:ascii="Times New Roman" w:hAnsi="Times New Roman" w:eastAsia="宋体"/>
          <w:b w:val="0"/>
          <w:i w:val="0"/>
          <w:sz w:val="24"/>
        </w:rPr>
        <w:t>1</w:t>
      </w:r>
    </w:p>
    <w:p w14:paraId="13F8C24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第二章　量子点光催化产过氧化氢研究</w:t>
      </w:r>
      <w:r>
        <w:rPr>
          <w:rFonts w:ascii="Times New Roman" w:hAnsi="Times New Roman" w:eastAsia="宋体"/>
          <w:b w:val="0"/>
          <w:i w:val="0"/>
          <w:sz w:val="24"/>
        </w:rPr>
        <w:tab/>
      </w:r>
      <w:r>
        <w:rPr>
          <w:rFonts w:ascii="Times New Roman" w:hAnsi="Times New Roman" w:eastAsia="宋体"/>
          <w:b w:val="0"/>
          <w:i w:val="0"/>
          <w:sz w:val="24"/>
        </w:rPr>
        <w:t>1</w:t>
      </w:r>
    </w:p>
    <w:p w14:paraId="43A58AF5">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600D3C6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53AD0242">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点的形貌与结构</w:t>
      </w:r>
      <w:r>
        <w:rPr>
          <w:rFonts w:ascii="Times New Roman" w:hAnsi="Times New Roman" w:eastAsia="宋体"/>
          <w:b w:val="0"/>
          <w:i w:val="0"/>
          <w:sz w:val="24"/>
        </w:rPr>
        <w:tab/>
      </w:r>
      <w:r>
        <w:rPr>
          <w:rFonts w:ascii="Times New Roman" w:hAnsi="Times New Roman" w:eastAsia="宋体"/>
          <w:b w:val="0"/>
          <w:i w:val="0"/>
          <w:sz w:val="24"/>
        </w:rPr>
        <w:t>1</w:t>
      </w:r>
    </w:p>
    <w:p w14:paraId="292BB39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点光催化产H2O2性能</w:t>
      </w:r>
      <w:r>
        <w:rPr>
          <w:rFonts w:ascii="Times New Roman" w:hAnsi="Times New Roman" w:eastAsia="宋体"/>
          <w:b w:val="0"/>
          <w:i w:val="0"/>
          <w:sz w:val="24"/>
        </w:rPr>
        <w:tab/>
      </w:r>
      <w:r>
        <w:rPr>
          <w:rFonts w:ascii="Times New Roman" w:hAnsi="Times New Roman" w:eastAsia="宋体"/>
          <w:b w:val="0"/>
          <w:i w:val="0"/>
          <w:sz w:val="24"/>
        </w:rPr>
        <w:t>1</w:t>
      </w:r>
    </w:p>
    <w:p w14:paraId="667963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活性位点的识别</w:t>
      </w:r>
      <w:r>
        <w:rPr>
          <w:rFonts w:ascii="Times New Roman" w:hAnsi="Times New Roman" w:eastAsia="宋体"/>
          <w:b w:val="0"/>
          <w:i w:val="0"/>
          <w:sz w:val="24"/>
        </w:rPr>
        <w:tab/>
      </w:r>
      <w:r>
        <w:rPr>
          <w:rFonts w:ascii="Times New Roman" w:hAnsi="Times New Roman" w:eastAsia="宋体"/>
          <w:b w:val="0"/>
          <w:i w:val="0"/>
          <w:sz w:val="24"/>
        </w:rPr>
        <w:t>1</w:t>
      </w:r>
    </w:p>
    <w:p w14:paraId="1D184F0B">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四、　点高效产H2O2机理分析</w:t>
      </w:r>
      <w:r>
        <w:rPr>
          <w:rFonts w:ascii="Times New Roman" w:hAnsi="Times New Roman" w:eastAsia="宋体"/>
          <w:b w:val="0"/>
          <w:i w:val="0"/>
          <w:sz w:val="24"/>
        </w:rPr>
        <w:tab/>
      </w:r>
      <w:r>
        <w:rPr>
          <w:rFonts w:ascii="Times New Roman" w:hAnsi="Times New Roman" w:eastAsia="宋体"/>
          <w:b w:val="0"/>
          <w:i w:val="0"/>
          <w:sz w:val="24"/>
        </w:rPr>
        <w:t>1</w:t>
      </w:r>
    </w:p>
    <w:p w14:paraId="4A75B363">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第三章　单原子催化降解水中双酚A的研究</w:t>
      </w:r>
      <w:r>
        <w:rPr>
          <w:rFonts w:ascii="Times New Roman" w:hAnsi="Times New Roman" w:eastAsia="宋体"/>
          <w:b w:val="0"/>
          <w:i w:val="0"/>
          <w:sz w:val="24"/>
        </w:rPr>
        <w:tab/>
      </w:r>
      <w:r>
        <w:rPr>
          <w:rFonts w:ascii="Times New Roman" w:hAnsi="Times New Roman" w:eastAsia="宋体"/>
          <w:b w:val="0"/>
          <w:i w:val="0"/>
          <w:sz w:val="24"/>
        </w:rPr>
        <w:t>1</w:t>
      </w:r>
    </w:p>
    <w:p w14:paraId="7D18AB31">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521601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758E6BA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催化剂的结构表征</w:t>
      </w:r>
      <w:r>
        <w:rPr>
          <w:rFonts w:ascii="Times New Roman" w:hAnsi="Times New Roman" w:eastAsia="宋体"/>
          <w:b w:val="0"/>
          <w:i w:val="0"/>
          <w:sz w:val="24"/>
        </w:rPr>
        <w:tab/>
      </w:r>
      <w:r>
        <w:rPr>
          <w:rFonts w:ascii="Times New Roman" w:hAnsi="Times New Roman" w:eastAsia="宋体"/>
          <w:b w:val="0"/>
          <w:i w:val="0"/>
          <w:sz w:val="24"/>
        </w:rPr>
        <w:t>1</w:t>
      </w:r>
    </w:p>
    <w:p w14:paraId="20082D4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催化剂的电催化性能</w:t>
      </w:r>
      <w:r>
        <w:rPr>
          <w:rFonts w:ascii="Times New Roman" w:hAnsi="Times New Roman" w:eastAsia="宋体"/>
          <w:b w:val="0"/>
          <w:i w:val="0"/>
          <w:sz w:val="24"/>
        </w:rPr>
        <w:tab/>
      </w:r>
      <w:r>
        <w:rPr>
          <w:rFonts w:ascii="Times New Roman" w:hAnsi="Times New Roman" w:eastAsia="宋体"/>
          <w:b w:val="0"/>
          <w:i w:val="0"/>
          <w:sz w:val="24"/>
        </w:rPr>
        <w:t>1</w:t>
      </w:r>
    </w:p>
    <w:p w14:paraId="0260701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进单原子催化剂活化PMS的机理探究</w:t>
      </w:r>
      <w:r>
        <w:rPr>
          <w:rFonts w:ascii="Times New Roman" w:hAnsi="Times New Roman" w:eastAsia="宋体"/>
          <w:b w:val="0"/>
          <w:i w:val="0"/>
          <w:sz w:val="24"/>
        </w:rPr>
        <w:tab/>
      </w:r>
      <w:r>
        <w:rPr>
          <w:rFonts w:ascii="Times New Roman" w:hAnsi="Times New Roman" w:eastAsia="宋体"/>
          <w:b w:val="0"/>
          <w:i w:val="0"/>
          <w:sz w:val="24"/>
        </w:rPr>
        <w:t>1</w:t>
      </w:r>
    </w:p>
    <w:p w14:paraId="008F0B9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第四章　望</w:t>
      </w:r>
      <w:r>
        <w:rPr>
          <w:rFonts w:ascii="Times New Roman" w:hAnsi="Times New Roman" w:eastAsia="宋体"/>
          <w:b w:val="0"/>
          <w:i w:val="0"/>
          <w:sz w:val="24"/>
        </w:rPr>
        <w:tab/>
      </w:r>
      <w:r>
        <w:rPr>
          <w:rFonts w:ascii="Times New Roman" w:hAnsi="Times New Roman" w:eastAsia="宋体"/>
          <w:b w:val="0"/>
          <w:i w:val="0"/>
          <w:sz w:val="24"/>
        </w:rPr>
        <w:t>1</w:t>
      </w:r>
    </w:p>
    <w:p w14:paraId="3B5F6E4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spacing w:before="0" w:after="0" w:line="400" w:lineRule="exact"/>
        <w:ind w:firstLine="480"/>
        <w:jc w:val="both"/>
        <w:rPr>
          <w:rFonts w:hint="eastAsia"/>
        </w:rPr>
      </w:pPr>
      <w:r>
        <w:rPr>
          <w:rFonts w:hint="eastAsia" w:ascii="Times New Roman" w:hAnsi="Times New Roman" w:eastAsia="宋体"/>
          <w:b w:val="0"/>
          <w:i w:val="0"/>
          <w:sz w:val="24"/>
        </w:rPr>
        <w:t>摘要</w:t>
      </w:r>
    </w:p>
    <w:p w14:paraId="3282C3B2">
      <w:pPr>
        <w:spacing w:before="0" w:after="0" w:line="400" w:lineRule="exact"/>
        <w:ind w:firstLine="480"/>
        <w:jc w:val="both"/>
        <w:rPr>
          <w:rFonts w:hint="eastAsia"/>
        </w:rPr>
      </w:pPr>
      <w:r>
        <w:rPr>
          <w:rFonts w:hint="eastAsia" w:ascii="Times New Roman" w:hAnsi="Times New Roman" w:eastAsia="宋体"/>
          <w:b w:val="0"/>
          <w:i w:val="0"/>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firstLine="480"/>
        <w:jc w:val="both"/>
        <w:rPr>
          <w:rFonts w:hint="eastAsia"/>
        </w:rPr>
      </w:pPr>
      <w:r>
        <w:rPr>
          <w:rFonts w:hint="eastAsia" w:ascii="Times New Roman" w:hAnsi="Times New Roman" w:eastAsia="宋体"/>
          <w:b w:val="0"/>
          <w:i w:val="0"/>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firstLine="480"/>
        <w:jc w:val="both"/>
        <w:rPr>
          <w:rFonts w:hint="eastAsia"/>
        </w:rPr>
      </w:pPr>
      <w:r>
        <w:rPr>
          <w:rFonts w:hint="eastAsia" w:ascii="Times New Roman" w:hAnsi="Times New Roman" w:eastAsia="宋体"/>
          <w:b w:val="0"/>
          <w:i w:val="0"/>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firstLine="48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关键词：碳量子点；表面改性；单原子催化剂；光催化产过氧化氢；电活化过一硫酸盐</w:t>
      </w:r>
    </w:p>
    <w:p w14:paraId="4C7B511F">
      <w:pPr>
        <w:spacing w:before="0" w:after="0" w:line="400" w:lineRule="exact"/>
        <w:ind w:left="0" w:leftChars="0" w:right="0" w:firstLineChars="0" w:firstLine="480"/>
        <w:jc w:val="both"/>
        <w:outlineLvl w:val="0"/>
        <w:rPr>
          <w:rFonts w:hint="eastAsia"/>
        </w:rPr>
      </w:pPr>
      <w:r>
        <w:rPr>
          <w:rFonts w:hint="eastAsia" w:ascii="Times New Roman" w:hAnsi="Times New Roman" w:eastAsia="宋体" w:cs="Arial"/>
          <w:b w:val="0"/>
          <w:i w:val="0"/>
          <w:sz w:val="24"/>
        </w:rPr>
        <w:t>第三章　Abstract</w:t>
      </w:r>
    </w:p>
    <w:p w14:paraId="36FA831F">
      <w:pPr>
        <w:spacing w:before="0" w:after="0" w:line="400" w:lineRule="exact"/>
        <w:ind w:firstLine="480"/>
        <w:jc w:val="both"/>
        <w:rPr>
          <w:rFonts w:hint="eastAsia"/>
        </w:rPr>
      </w:pPr>
      <w:r>
        <w:rPr>
          <w:rFonts w:hint="eastAsia" w:ascii="Times New Roman" w:hAnsi="Times New Roman" w:eastAsia="宋体"/>
          <w:b w:val="0"/>
          <w:i w:val="0"/>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firstLine="480"/>
        <w:jc w:val="both"/>
        <w:rPr>
          <w:rFonts w:hint="eastAsia"/>
        </w:rPr>
      </w:pPr>
      <w:r>
        <w:rPr>
          <w:rFonts w:hint="eastAsia" w:ascii="Times New Roman" w:hAnsi="Times New Roman" w:eastAsia="宋体"/>
          <w:b w:val="0"/>
          <w:i w:val="0"/>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firstLine="480"/>
        <w:jc w:val="both"/>
        <w:rPr>
          <w:rFonts w:hint="eastAsia"/>
        </w:rPr>
      </w:pPr>
      <w:r>
        <w:rPr>
          <w:rFonts w:hint="eastAsia" w:ascii="Times New Roman" w:hAnsi="Times New Roman" w:eastAsia="宋体"/>
          <w:b w:val="0"/>
          <w:i w:val="0"/>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firstLine="480"/>
        <w:jc w:val="both"/>
        <w:rPr>
          <w:rFonts w:hint="eastAsia"/>
        </w:rPr>
      </w:pPr>
      <w:r>
        <w:rPr>
          <w:rFonts w:hint="eastAsia" w:ascii="Times New Roman" w:hAnsi="Times New Roman" w:eastAsia="宋体"/>
          <w:b w:val="0"/>
          <w:i w:val="0"/>
          <w:sz w:val="24"/>
        </w:rPr>
        <w:t>Key Words: Carbon quantum dots; Surface modification; Single-atom catalysts; Photocatalytic hydrogen peroxide production; Electroactivation of peroxymonosulfate</w:t>
      </w:r>
    </w:p>
    <w:p w14:paraId="3321AF09">
      <w:pPr>
        <w:spacing w:before="0" w:after="0" w:line="400" w:lineRule="exact"/>
        <w:ind w:firstLine="48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w:t>
      </w:r>
    </w:p>
    <w:p w14:paraId="777AF0C0">
      <w:pPr>
        <w:pStyle w:val="2"/>
        <w:spacing w:before="480" w:after="360" w:line="560" w:lineRule="exact"/>
        <w:ind w:firstLine="0"/>
        <w:jc w:val="center"/>
        <w:outlineLvl w:val="0"/>
      </w:pPr>
      <w:r>
        <w:rPr>
          <w:rFonts w:ascii="Times New Roman" w:hAnsi="Times New Roman" w:eastAsia="黑体"/>
          <w:b/>
          <w:i w:val="0"/>
          <w:sz w:val="32"/>
        </w:rPr>
        <w:t>第四章　绪论</w:t>
      </w:r>
    </w:p>
    <w:p w14:paraId="69847D00">
      <w:pPr>
        <w:pStyle w:val="3"/>
        <w:spacing w:before="240" w:after="240" w:line="480" w:lineRule="exact"/>
        <w:ind w:firstLine="0"/>
        <w:jc w:val="left"/>
        <w:outlineLvl w:val="1"/>
      </w:pPr>
      <w:r>
        <w:rPr>
          <w:rFonts w:ascii="Times New Roman" w:hAnsi="Times New Roman" w:eastAsia="黑体"/>
          <w:b/>
          <w:i w:val="0"/>
          <w:sz w:val="28"/>
        </w:rPr>
        <w:t>4.1　碳量子点概述</w:t>
      </w:r>
    </w:p>
    <w:p w14:paraId="5354A6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b w:val="0"/>
          <w:i w:val="0"/>
          <w:sz w:val="24"/>
          <w:vertAlign w:val="superscript"/>
        </w:rPr>
        <w:t>[1]</w:t>
      </w:r>
      <w:r>
        <w:rPr>
          <w:rFonts w:hint="eastAsia" w:ascii="Times New Roman" w:hAnsi="Times New Roman" w:eastAsia="宋体" w:cs="Times New Roman"/>
          <w:b w:val="0"/>
          <w:i w:val="0"/>
          <w:sz w:val="24"/>
        </w:rPr>
        <w:t>。在此背景下，碳基荧光纳米材料因其更好的生物相容性与环境友好性而受到关注。2004年，Xu等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首次从电弧法制备的单壁碳纳米管中分离出具有明亮荧光的碳纳米颗粒；两年后，Sun等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将此类荧光碳纳米颗粒正式命名为碳点(CDs)。</w:t>
      </w:r>
      <w:r>
        <w:rPr>
          <w:rFonts w:hint="eastAsia" w:ascii="Times New Roman" w:hAnsi="Times New Roman" w:eastAsia="宋体" w:cs="Times New Roman"/>
          <w:b w:val="0"/>
          <w:i w:val="0"/>
          <w:sz w:val="24"/>
        </w:rPr>
        <w:t>CDs</w:t>
      </w:r>
      <w:r>
        <w:rPr>
          <w:rFonts w:hint="eastAsia" w:ascii="Times New Roman" w:hAnsi="Times New Roman" w:eastAsia="宋体" w:cs="Times New Roman"/>
          <w:b w:val="0"/>
          <w:i w:val="0"/>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125A6CD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。其中，GQDs具有高结晶度石墨烯片层结构，其碳核以</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杂化为主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则通常拥有一个由交联聚合物链包裹的、</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rPr>
        <w:t>碳混合的核壳结构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。而CQDs通常由多层类石墨碳构成，结晶度介于GQDs与</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402BB7B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CQDs是典型的零维纳米材料，其粒径通常小于10 nm，形貌近似球形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。此外，CQDs内部通常含有更多的非晶区域和结构缺陷，表面具有高密度的羧基、羟基、羰基、氨基等官能团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 xml:space="preserve">, </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。例如，通过表面工程引入特定基团，可以显著改变CQDs的能带结构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、电子传输效率</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及对氧气</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、过硫酸盐</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等特定分子的吸附与活化能力。</w:t>
      </w:r>
    </w:p>
    <w:p w14:paraId="2C0FB8AE">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、传感</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、荧光分析检测</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，结合其高效的电荷转移能力</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，CQDs在光催化与电催化领域展示出巨大的应用潜力，为应对能源与环境领域的挑战提供了新的技术途径。</w:t>
      </w:r>
    </w:p>
    <w:p w14:paraId="56FF500C">
      <w:pPr>
        <w:pStyle w:val="3"/>
        <w:spacing w:before="240" w:after="240" w:line="480" w:lineRule="exact"/>
        <w:ind w:firstLine="0"/>
        <w:jc w:val="left"/>
        <w:outlineLvl w:val="1"/>
      </w:pPr>
      <w:r>
        <w:rPr>
          <w:rFonts w:ascii="Times New Roman" w:hAnsi="Times New Roman" w:eastAsia="黑体"/>
          <w:b/>
          <w:i w:val="0"/>
          <w:sz w:val="28"/>
        </w:rPr>
        <w:t>4.2　碳点的合成方法</w:t>
      </w:r>
    </w:p>
    <w:p w14:paraId="6E01B1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2006年，Sun等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56414754">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“自上而下”法以石墨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、碳纳米管</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、炭黑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等大尺寸的碳材料为前驱体，通过物理或化学方法，剥离、破碎成纳米尺度的碳点。典型方法包括电弧放电法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、激光烧蚀法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、化学氧化法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等。其中，最常用的方法是刻蚀剥离，Meng等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firstLine="480"/>
        <w:jc w:val="both"/>
      </w:pPr>
      <w:r>
        <w:rPr>
          <w:rFonts w:hint="eastAsia" w:ascii="Times New Roman" w:hAnsi="Times New Roman" w:eastAsia="宋体" w:cs="Times New Roman"/>
          <w:b w:val="0"/>
          <w:i w:val="0"/>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、葡萄糖</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、乙二胺</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等结构明确的小分子有机物；另一类是结构相对简单的生物质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。通过水热/溶剂热法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、微波辅助法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等反应，前驱体经历脱水、聚合、碳化等一系列化学反应，自组装构筑成CQDs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szCs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宋体"/>
      <w:b/>
      <w:sz w:val="28"/>
      <w:szCs w:val="28"/>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宋体"/>
      <w:b/>
      <w:sz w:val="24"/>
      <w:szCs w:val="24"/>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Arial" w:hAnsi="Arial" w:eastAsia="宋体"/>
      <w:b/>
      <w:sz w:val="24"/>
      <w:szCs w:val="24"/>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b/>
      <w:sz w:val="24"/>
      <w:szCs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Arial" w:hAnsi="Arial" w:eastAsia="宋体"/>
      <w:b/>
      <w:sz w:val="24"/>
      <w:szCs w:val="24"/>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b/>
      <w:sz w:val="24"/>
      <w:szCs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