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08183">
      <w:pPr>
        <w:spacing w:before="0" w:after="0" w:line="400" w:lineRule="exact"/>
        <w:ind w:firstLine="480"/>
        <w:jc w:val="both"/>
        <w:rPr>
          <w:rFonts w:hint="eastAsia"/>
        </w:rPr>
      </w:pPr>
      <w:bookmarkStart w:id="78" w:name="_GoBack"/>
      <w:bookmarkEnd w:id="78"/>
      <w:r>
        <w:rPr>
          <w:rFonts w:hint="eastAsia" w:ascii="Times New Roman" w:hAnsi="Times New Roman" w:eastAsia="宋体"/>
          <w:b w:val="0"/>
          <w:i w:val="0"/>
          <w:sz w:val="24"/>
        </w:rPr>
        <w:t>智能化代码编译系统的设计与实现</w:t>
      </w:r>
    </w:p>
    <w:p w14:paraId="4A955B2C">
      <w:pPr>
        <w:spacing w:before="0" w:after="0" w:line="400" w:lineRule="exact"/>
        <w:ind w:firstLine="480"/>
        <w:jc w:val="both"/>
        <w:rPr>
          <w:rFonts w:hint="eastAsia"/>
        </w:rPr>
      </w:pPr>
      <w:r>
        <w:rPr>
          <w:rFonts w:hint="eastAsia" w:ascii="Times New Roman" w:hAnsi="Times New Roman" w:eastAsia="宋体"/>
          <w:b w:val="0"/>
          <w:i w:val="0"/>
          <w:sz w:val="24"/>
        </w:rPr>
        <w:t>Design and Implementation of an Intelligent Code Compilation System</w:t>
      </w:r>
    </w:p>
    <w:p w14:paraId="3F0A894C">
      <w:pPr>
        <w:rPr>
          <w:rFonts w:hint="eastAsia"/>
        </w:rPr>
      </w:pPr>
    </w:p>
    <w:p w14:paraId="77B4A0F6">
      <w:pPr>
        <w:rPr>
          <w:rFonts w:hint="eastAsia"/>
        </w:rPr>
      </w:pPr>
    </w:p>
    <w:p w14:paraId="49D69010">
      <w:pPr>
        <w:spacing w:before="0" w:after="0" w:line="400" w:lineRule="exact"/>
        <w:ind w:firstLine="480"/>
        <w:jc w:val="both"/>
        <w:rPr>
          <w:rFonts w:hint="eastAsia"/>
        </w:rPr>
      </w:pPr>
      <w:r>
        <w:rPr>
          <w:rFonts w:hint="eastAsia" w:ascii="Times New Roman" w:hAnsi="Times New Roman" w:eastAsia="宋体"/>
          <w:b w:val="0"/>
          <w:i w:val="0"/>
          <w:sz w:val="24"/>
        </w:rPr>
        <w:t>课程：软件工程综合实践</w:t>
      </w:r>
    </w:p>
    <w:p w14:paraId="3A7D018E">
      <w:pPr>
        <w:spacing w:before="0" w:after="0" w:line="400" w:lineRule="exact"/>
        <w:ind w:firstLine="480"/>
        <w:jc w:val="both"/>
        <w:rPr>
          <w:rFonts w:hint="eastAsia"/>
        </w:rPr>
      </w:pPr>
      <w:r>
        <w:rPr>
          <w:rFonts w:hint="eastAsia" w:ascii="Times New Roman" w:hAnsi="Times New Roman" w:eastAsia="宋体"/>
          <w:b w:val="0"/>
          <w:i w:val="0"/>
          <w:sz w:val="24"/>
        </w:rPr>
        <w:t>作者：XXX</w:t>
      </w:r>
    </w:p>
    <w:p w14:paraId="62AF8DF2">
      <w:pPr>
        <w:spacing w:before="0" w:after="0" w:line="400" w:lineRule="exact"/>
        <w:ind w:firstLine="480"/>
        <w:jc w:val="both"/>
        <w:rPr>
          <w:rFonts w:hint="eastAsia"/>
        </w:rPr>
      </w:pPr>
      <w:r>
        <w:rPr>
          <w:rFonts w:hint="eastAsia" w:ascii="Times New Roman" w:hAnsi="Times New Roman" w:eastAsia="宋体"/>
          <w:b w:val="0"/>
          <w:i w:val="0"/>
          <w:sz w:val="24"/>
        </w:rPr>
        <w:t>学号：XXXXXXXX</w:t>
      </w:r>
    </w:p>
    <w:p w14:paraId="6AAEAC11">
      <w:pPr>
        <w:spacing w:before="0" w:after="0" w:line="400" w:lineRule="exact"/>
        <w:ind w:firstLine="480"/>
        <w:jc w:val="both"/>
        <w:rPr>
          <w:rFonts w:hint="eastAsia"/>
        </w:rPr>
      </w:pPr>
      <w:r>
        <w:rPr>
          <w:rFonts w:hint="eastAsia" w:ascii="Times New Roman" w:hAnsi="Times New Roman" w:eastAsia="宋体"/>
          <w:b w:val="0"/>
          <w:i w:val="0"/>
          <w:sz w:val="24"/>
        </w:rPr>
        <w:t>指导教师：XXX</w:t>
      </w:r>
    </w:p>
    <w:p w14:paraId="546E7548">
      <w:pPr>
        <w:spacing w:before="0" w:after="0" w:line="400" w:lineRule="exact"/>
        <w:ind w:firstLine="480"/>
        <w:jc w:val="both"/>
        <w:rPr>
          <w:rFonts w:hint="eastAsia"/>
        </w:rPr>
      </w:pPr>
      <w:r>
        <w:rPr>
          <w:rFonts w:hint="eastAsia" w:ascii="Times New Roman" w:hAnsi="Times New Roman" w:eastAsia="宋体"/>
          <w:b w:val="0"/>
          <w:i w:val="0"/>
          <w:sz w:val="24"/>
        </w:rPr>
        <w:t>日期：2026年3月</w:t>
      </w:r>
    </w:p>
    <w:p w14:paraId="68C003EA">
      <w:pPr>
        <w:rPr>
          <w:rFonts w:hint="eastAsia"/>
        </w:rPr>
      </w:pPr>
    </w:p>
    <w:p w14:paraId="32F014E6">
      <w:pPr>
        <w:rPr>
          <w:rFonts w:hint="eastAsia"/>
        </w:rPr>
        <w:sectPr>
          <w:headerReference r:id="rId5" w:type="default"/>
          <w:footerReference r:id="rId6" w:type="default"/>
          <w:pgSz w:w="11906" w:h="16838"/>
          <w:pgMar w:top="2154" w:right="1814" w:bottom="2154" w:left="1814" w:header="1701" w:footer="1701" w:gutter="0"/>
          <w:cols w:space="720" w:num="1"/>
          <w:docGrid w:linePitch="360" w:charSpace="0"/>
        </w:sectPr>
      </w:pPr>
    </w:p>
    <w:p w14:paraId="0BBE7DCE">
      <w:pPr>
        <w:pStyle w:val="165"/>
        <w:spacing w:before="0" w:after="0" w:line="400" w:lineRule="exact"/>
        <w:ind w:left="0" w:leftChars="0" w:right="0" w:rightChars="0" w:firstLineChars="0" w:firstLine="0"/>
        <w:jc w:val="left"/>
        <w:outlineLvl w:val="9"/>
      </w:pPr>
      <w:r>
        <w:rPr>
          <w:rFonts w:hint="default" w:ascii="Times New Roman" w:hAnsi="Times New Roman" w:eastAsia="宋体" w:cs="Times New Roman"/>
          <w:b w:val="0"/>
          <w:i w:val="0"/>
          <w:sz w:val="24"/>
        </w:rPr>
        <w:t>目录</w:t>
      </w:r>
    </w:p>
    <w:p w14:paraId="3D7DF15A">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dirty="true"/>
      </w:r>
      <w:r>
        <w:rPr>
          <w:rFonts w:ascii="Times New Roman" w:hAnsi="Times New Roman" w:eastAsia="宋体" w:cs="Times New Roman" w:hint="default"/>
          <w:b w:val="0"/>
          <w:i w:val="0"/>
          <w:sz w:val="24"/>
        </w:rPr>
        <w:instrText xml:space="preserve"> TOC \o "1-3" \h \z \u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_Toc10360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第一章 </w:t>
      </w:r>
      <w:r>
        <w:rPr>
          <w:rFonts w:hint="default" w:ascii="Times New Roman" w:hAnsi="Times New Roman" w:eastAsia="宋体" w:cs="Times New Roman"/>
          <w:b w:val="0"/>
          <w:i w:val="0"/>
          <w:sz w:val="24"/>
        </w:rPr>
        <w:t>摘要</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_Toc10360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III</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E852E11">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_Toc30493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第二章 </w:t>
      </w:r>
      <w:r>
        <w:rPr>
          <w:rFonts w:hint="default" w:ascii="Times New Roman" w:hAnsi="Times New Roman" w:eastAsia="宋体" w:cs="Times New Roman"/>
          <w:b w:val="0"/>
          <w:i w:val="0"/>
          <w:sz w:val="24"/>
        </w:rPr>
        <w:t>Abstract</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_Toc30493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IV</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288262C">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_Toc11940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第三章 </w:t>
      </w:r>
      <w:r>
        <w:rPr>
          <w:rFonts w:ascii="Times New Roman" w:hAnsi="Times New Roman" w:eastAsia="宋体" w:cs="Times New Roman" w:hint="default"/>
          <w:b w:val="0"/>
          <w:i w:val="0"/>
          <w:sz w:val="24"/>
        </w:rPr>
        <w:t>绪论</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_Toc11940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E3023A4">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_Toc28123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3.1 </w:t>
      </w:r>
      <w:r>
        <w:rPr>
          <w:rFonts w:ascii="Times New Roman" w:hAnsi="Times New Roman" w:eastAsia="宋体" w:cs="Times New Roman" w:hint="default"/>
          <w:b w:val="0"/>
          <w:i w:val="0"/>
          <w:sz w:val="24"/>
        </w:rPr>
        <w:t>研究背景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_Toc28123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BCB9560">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_Toc20032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3.2 </w:t>
      </w:r>
      <w:r>
        <w:rPr>
          <w:rFonts w:ascii="Times New Roman" w:hAnsi="Times New Roman" w:eastAsia="宋体" w:cs="Times New Roman" w:hint="default"/>
          <w:b w:val="0"/>
          <w:i w:val="0"/>
          <w:sz w:val="24"/>
        </w:rPr>
        <w:t>研究问题</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_Toc20032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BD871C4">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_Toc9384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3.3 </w:t>
      </w:r>
      <w:r>
        <w:rPr>
          <w:rFonts w:ascii="Times New Roman" w:hAnsi="Times New Roman" w:eastAsia="宋体" w:cs="Times New Roman" w:hint="default"/>
          <w:b w:val="0"/>
          <w:i w:val="0"/>
          <w:sz w:val="24"/>
        </w:rPr>
        <w:t>研究目标与贡献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_Toc9384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3D243132">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_Toc1437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3.4 </w:t>
      </w:r>
      <w:r>
        <w:rPr>
          <w:rFonts w:ascii="Times New Roman" w:hAnsi="Times New Roman" w:eastAsia="宋体" w:cs="Times New Roman" w:hint="default"/>
          <w:b w:val="0"/>
          <w:i w:val="0"/>
          <w:sz w:val="24"/>
        </w:rPr>
        <w:t>论文结构</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_Toc1437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E025DDE">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_Toc5475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第四章 </w:t>
      </w:r>
      <w:r>
        <w:rPr>
          <w:rFonts w:ascii="Times New Roman" w:hAnsi="Times New Roman" w:eastAsia="宋体" w:cs="Times New Roman" w:hint="default"/>
          <w:b w:val="0"/>
          <w:i w:val="0"/>
          <w:sz w:val="24"/>
        </w:rPr>
        <w:t>需求分析与相关技术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_Toc5475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7446247">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_Toc28816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4.1 </w:t>
      </w:r>
      <w:r>
        <w:rPr>
          <w:rFonts w:ascii="Times New Roman" w:hAnsi="Times New Roman" w:eastAsia="宋体" w:cs="Times New Roman" w:hint="default"/>
          <w:b w:val="0"/>
          <w:i w:val="0"/>
          <w:sz w:val="24"/>
        </w:rPr>
        <w:t>传统编译流程痛点</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_Toc28816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0AD3C35">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_Toc6206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4.2 </w:t>
      </w:r>
      <w:r>
        <w:rPr>
          <w:rFonts w:ascii="Times New Roman" w:hAnsi="Times New Roman" w:eastAsia="宋体" w:cs="Times New Roman" w:hint="default"/>
          <w:b w:val="0"/>
          <w:i w:val="0"/>
          <w:sz w:val="24"/>
        </w:rPr>
        <w:t>智能化编译相关技术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_Toc6206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244130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_Toc11142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4.3 </w:t>
      </w:r>
      <w:r>
        <w:rPr>
          <w:rFonts w:ascii="Times New Roman" w:hAnsi="Times New Roman" w:eastAsia="宋体" w:cs="Times New Roman" w:hint="default"/>
          <w:b w:val="0"/>
          <w:i w:val="0"/>
          <w:sz w:val="24"/>
        </w:rPr>
        <w:t>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_Toc11142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041DF15">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_Toc28904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4.4 </w:t>
      </w:r>
      <w:r>
        <w:rPr>
          <w:rFonts w:ascii="Times New Roman" w:hAnsi="Times New Roman" w:eastAsia="宋体" w:cs="Times New Roman" w:hint="default"/>
          <w:b w:val="0"/>
          <w:i w:val="0"/>
          <w:sz w:val="24"/>
        </w:rPr>
        <w:t>非功能需求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_Toc28904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3D10AA2">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_Toc2176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第五章 </w:t>
      </w:r>
      <w:r>
        <w:rPr>
          <w:rFonts w:ascii="Times New Roman" w:hAnsi="Times New Roman" w:eastAsia="宋体" w:cs="Times New Roman" w:hint="default"/>
          <w:b w:val="0"/>
          <w:i w:val="0"/>
          <w:sz w:val="24"/>
        </w:rPr>
        <w:t>智能化代码编译核心功能实现</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_Toc2176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9C7336D">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_Toc6696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5.1 </w:t>
      </w:r>
      <w:r>
        <w:rPr>
          <w:rFonts w:ascii="Times New Roman" w:hAnsi="Times New Roman" w:eastAsia="宋体" w:cs="Times New Roman" w:hint="default"/>
          <w:b w:val="0"/>
          <w:i w:val="0"/>
          <w:sz w:val="24"/>
        </w:rPr>
        <w:t>多语言前端与统一 IR</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_Toc6696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A31F23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_Toc27859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5.2 </w:t>
      </w:r>
      <w:r>
        <w:rPr>
          <w:rFonts w:ascii="Times New Roman" w:hAnsi="Times New Roman" w:eastAsia="宋体" w:cs="Times New Roman" w:hint="default"/>
          <w:b w:val="0"/>
          <w:i w:val="0"/>
          <w:sz w:val="24"/>
        </w:rPr>
        <w:t>增量编译与缓存机制</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_Toc27859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91E55C8">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_Toc27421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5.3 </w:t>
      </w:r>
      <w:r>
        <w:rPr>
          <w:rFonts w:ascii="Times New Roman" w:hAnsi="Times New Roman" w:eastAsia="宋体" w:cs="Times New Roman" w:hint="default"/>
          <w:b w:val="0"/>
          <w:i w:val="0"/>
          <w:sz w:val="24"/>
        </w:rPr>
        <w:t>并行与分布式编译调度</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_Toc27421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6C14983">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_Toc9676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5.4 </w:t>
      </w:r>
      <w:r>
        <w:rPr>
          <w:rFonts w:ascii="Times New Roman" w:hAnsi="Times New Roman" w:eastAsia="宋体" w:cs="Times New Roman" w:hint="default"/>
          <w:b w:val="0"/>
          <w:i w:val="0"/>
          <w:sz w:val="24"/>
        </w:rPr>
        <w:t>AI 优化决策</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_Toc9676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AD7764E">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_Toc19398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5.5 </w:t>
      </w:r>
      <w:r>
        <w:rPr>
          <w:rFonts w:ascii="Times New Roman" w:hAnsi="Times New Roman" w:eastAsia="宋体" w:cs="Times New Roman" w:hint="default"/>
          <w:b w:val="0"/>
          <w:i w:val="0"/>
          <w:sz w:val="24"/>
        </w:rPr>
        <w:t>智能报错诊断与修复建议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_Toc19398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1093210">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_Toc13239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5.6 </w:t>
      </w:r>
      <w:r>
        <w:rPr>
          <w:rFonts w:ascii="Times New Roman" w:hAnsi="Times New Roman" w:eastAsia="宋体" w:cs="Times New Roman" w:hint="default"/>
          <w:b w:val="0"/>
          <w:i w:val="0"/>
          <w:sz w:val="24"/>
        </w:rPr>
        <w:t>安全与合规检查</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_Toc13239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3864E7D">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_Toc6779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5.7 </w:t>
      </w:r>
      <w:r>
        <w:rPr>
          <w:rFonts w:ascii="Times New Roman" w:hAnsi="Times New Roman" w:eastAsia="宋体" w:cs="Times New Roman" w:hint="default"/>
          <w:b w:val="0"/>
          <w:i w:val="0"/>
          <w:sz w:val="24"/>
        </w:rPr>
        <w:t>可观测性与编译画像</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_Toc6779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5</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45E7225">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_Toc17877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第六章 </w:t>
      </w:r>
      <w:r>
        <w:rPr>
          <w:rFonts w:ascii="Times New Roman" w:hAnsi="Times New Roman" w:eastAsia="宋体" w:cs="Times New Roman" w:hint="default"/>
          <w:b w:val="0"/>
          <w:i w:val="0"/>
          <w:sz w:val="24"/>
          <w:lang w:val="en-US" w:eastAsia="zh-CN"/>
        </w:rPr>
        <w:t>核心比对</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_Toc17877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6</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45EAEF0B">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_Toc12928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6.1 </w:t>
      </w:r>
      <w:r>
        <w:rPr>
          <w:rFonts w:ascii="Times New Roman" w:hAnsi="Times New Roman" w:eastAsia="宋体" w:cs="Times New Roman" w:hint="default"/>
          <w:b w:val="0"/>
          <w:i w:val="0"/>
          <w:sz w:val="24"/>
        </w:rPr>
        <w:t>对比基线</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_Toc12928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6</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3DF9D47">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_Toc14149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第七章 </w:t>
      </w:r>
      <w:r>
        <w:rPr>
          <w:rFonts w:ascii="Times New Roman" w:hAnsi="Times New Roman" w:eastAsia="宋体" w:cs="Times New Roman" w:hint="default"/>
          <w:b w:val="0"/>
          <w:i w:val="0"/>
          <w:sz w:val="24"/>
        </w:rPr>
        <w:t>实验结果与分析</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_Toc14149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D330DA7">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_Toc17369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7.1 </w:t>
      </w:r>
      <w:r>
        <w:rPr>
          <w:rFonts w:ascii="Times New Roman" w:hAnsi="Times New Roman" w:eastAsia="宋体" w:cs="Times New Roman" w:hint="default"/>
          <w:b w:val="0"/>
          <w:i w:val="0"/>
          <w:sz w:val="24"/>
        </w:rPr>
        <w:t>公式表格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_Toc17369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79B193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_Toc7145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7.2 </w:t>
      </w:r>
      <w:r>
        <w:rPr>
          <w:rFonts w:ascii="Times New Roman" w:hAnsi="Times New Roman" w:eastAsia="宋体" w:cs="Times New Roman" w:hint="default"/>
          <w:b w:val="0"/>
          <w:i w:val="0"/>
          <w:sz w:val="24"/>
          <w:lang w:val="en-US" w:eastAsia="zh-CN"/>
        </w:rPr>
        <w:t>普通表格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_Toc7145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41F02776">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_Toc28416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7.3 </w:t>
      </w:r>
      <w:r>
        <w:rPr>
          <w:rFonts w:ascii="Times New Roman" w:hAnsi="Times New Roman" w:eastAsia="宋体" w:cs="Times New Roman" w:hint="default"/>
          <w:b w:val="0"/>
          <w:i w:val="0"/>
          <w:sz w:val="24"/>
          <w:lang w:val="en-US" w:eastAsia="zh-CN"/>
        </w:rPr>
        <w:t>化学式公式测试</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_Toc28416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283BA3B">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_Toc9685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i w:val="0"/>
          <w:sz w:val="24"/>
        </w:rPr>
        <w:t>致谢</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_Toc9685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8</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FB51859">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_Toc27452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i w:val="0"/>
          <w:sz w:val="24"/>
        </w:rPr>
        <w:t>参考文献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_Toc27452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10</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340D9D6">
      <w:pPr>
        <w:sectPr>
          <w:headerReference r:id="rId7" w:type="default"/>
          <w:footerReference r:id="rId8" w:type="default"/>
          <w:pgSz w:w="11906" w:h="16838"/>
          <w:pgMar w:top="2154" w:right="1814" w:bottom="2154" w:left="1814" w:header="1701" w:footer="1701" w:gutter="0"/>
          <w:pgNumType w:fmt="upperRoman" w:start="1"/>
          <w:cols w:space="720" w:num="1"/>
          <w:docGrid w:linePitch="360" w:charSpace="0"/>
        </w:sectPr>
      </w:pPr>
      <w:r>
        <w:fldChar w:fldCharType="end"/>
      </w:r>
    </w:p>
    <w:p w14:paraId="1F75E4C3">
      <w:pPr>
        <w:pStyle w:val="3"/>
        <w:bidi w:val="0"/>
        <w:spacing w:before="480" w:after="360" w:line="560" w:lineRule="exact"/>
        <w:ind w:left="0" w:leftChars="0" w:right="0" w:rightChars="0" w:firstLineChars="0" w:firstLine="0"/>
        <w:jc w:val="center"/>
        <w:outlineLvl w:val="0"/>
        <w:rPr>
          <w:rFonts w:hint="eastAsia"/>
          <w:color w:val="auto"/>
        </w:rPr>
      </w:pPr>
      <w:bookmarkStart w:id="0" w:name="_Toc10360"/>
      <w:r>
        <w:rPr>
          <w:rFonts w:hint="default" w:ascii="Times New Roman" w:hAnsi="Times New Roman" w:eastAsia="黑体" w:cs="Arial"/>
          <w:b/>
          <w:i w:val="0"/>
          <w:color w:val="auto"/>
          <w:sz w:val="32"/>
        </w:rPr>
        <w:t>摘要</w:t>
      </w:r>
      <w:bookmarkEnd w:id="0"/>
    </w:p>
    <w:p w14:paraId="4C8D45E6">
      <w:pPr>
        <w:spacing w:before="0" w:after="0" w:line="400" w:lineRule="exact"/>
        <w:ind w:left="420" w:hanging="420"/>
        <w:jc w:val="both"/>
        <w:rPr>
          <w:rFonts w:hint="eastAsia"/>
        </w:rPr>
      </w:pPr>
      <w:r>
        <w:rPr>
          <w:rFonts w:hint="eastAsia" w:ascii="Times New Roman" w:hAnsi="Times New Roman" w:eastAsia="宋体"/>
          <w:b w:val="0"/>
          <w:i w:val="0"/>
          <w:sz w:val="24"/>
        </w:rPr>
        <w:t>随着软件系统规模持续扩大，传统静态编译流程在构建时延、诊断效率和优化稳定性方面逐渐暴露瓶颈。本文围绕“智能化代码编译”主题，设计并实现了一套面向工程场景的智能编译系统。系统以统一中间表示为核心，通过多语言前端抽象、增量编译缓存、并行与分布式调度、优化策略智能决策、错误诊断与修复建议、安全合规扫描和全链路可观测能力，实现了从源码提交到构建产物交付的闭环自动化。</w:t>
      </w:r>
    </w:p>
    <w:p w14:paraId="6E2E7ADA">
      <w:pPr>
        <w:spacing w:before="0" w:after="0" w:line="400" w:lineRule="exact"/>
        <w:ind w:left="420" w:hanging="420"/>
        <w:jc w:val="both"/>
        <w:rPr>
          <w:rFonts w:hint="eastAsia"/>
        </w:rPr>
      </w:pPr>
      <w:r>
        <w:rPr>
          <w:rFonts w:hint="eastAsia" w:ascii="Times New Roman" w:hAnsi="Times New Roman" w:eastAsia="宋体"/>
          <w:b w:val="0"/>
          <w:i w:val="0"/>
          <w:sz w:val="24"/>
        </w:rPr>
        <w:t>在架构层面，本文提出“编译内核 + 智能决策层 + 工程控制面”的三层模型：编译内核负责语法语义分析、优化和代码生成；智能决策层基于历史构建画像进行参数推荐与风险评估；工程控制面负责与 CI/CD、制品库和质量门禁系统集成。在实现层面，系统支持 C/C++、Rust、Java 与 Python 混合工程的统一依赖图构建，能够针对变更范围执行精确重编译，并在安全策略触发时自动降级到保守路径，保障构建正确性与可追溯性。</w:t>
      </w:r>
    </w:p>
    <w:p w14:paraId="13657842">
      <w:pPr>
        <w:spacing w:before="0" w:after="0" w:line="400" w:lineRule="exact"/>
        <w:ind w:left="420" w:hanging="420"/>
        <w:jc w:val="both"/>
        <w:rPr>
          <w:rFonts w:hint="eastAsia"/>
        </w:rPr>
      </w:pPr>
      <w:r>
        <w:rPr>
          <w:rFonts w:hint="eastAsia" w:ascii="Times New Roman" w:hAnsi="Times New Roman" w:eastAsia="宋体"/>
          <w:b w:val="0"/>
          <w:i w:val="0"/>
          <w:sz w:val="24"/>
        </w:rPr>
        <w:t>实验结果表明，在多项目混合测试集中，系统相较基线编译流水线平均构建时长下降 37.8%，缓存命中场景下最高可下降 64.2%；诊断信息定位准确率达到 91.4%，自动修复建议被采纳率达到 68.7%；安全扫描阶段对高风险依赖的拦截召回率达到 95% 以上。实践结果说明，智能化代码编译不仅能够提升编译效率，还能显著增强研发流程的稳定性与工程治理能力。</w:t>
      </w:r>
    </w:p>
    <w:p w14:paraId="5C3D57FC">
      <w:pPr>
        <w:spacing w:before="0" w:after="0" w:line="400" w:lineRule="exact"/>
        <w:ind w:left="420" w:hanging="420"/>
        <w:jc w:val="both"/>
        <w:rPr>
          <w:rFonts w:hint="eastAsia"/>
        </w:rPr>
      </w:pPr>
      <w:r>
        <w:rPr>
          <w:rFonts w:hint="eastAsia" w:ascii="Times New Roman" w:hAnsi="Times New Roman" w:eastAsia="宋体"/>
          <w:b w:val="0"/>
          <w:i w:val="0"/>
          <w:sz w:val="24"/>
        </w:rPr>
        <w:t>关键词：智能编译；统一中间表示；增量构建；并行调度；错误诊断；安全合规</w:t>
      </w:r>
    </w:p>
    <w:p w14:paraId="037875B9">
      <w:pPr>
        <w:rPr>
          <w:rFonts w:hint="eastAsia"/>
        </w:rPr>
      </w:pPr>
    </w:p>
    <w:p w14:paraId="6B4B088B">
      <w:pPr>
        <w:rPr>
          <w:rFonts w:hint="eastAsia"/>
        </w:rPr>
        <w:sectPr>
          <w:headerReference r:id="rId9" w:type="default"/>
          <w:footerReference r:id="rId10" w:type="default"/>
          <w:pgSz w:w="11906" w:h="16838"/>
          <w:pgMar w:top="2154" w:right="1814" w:bottom="2154" w:left="1814" w:header="1701" w:footer="1701" w:gutter="0"/>
          <w:pgNumType w:fmt="upperRoman"/>
          <w:cols w:space="720" w:num="1"/>
          <w:docGrid w:linePitch="360" w:charSpace="0"/>
        </w:sectPr>
      </w:pPr>
    </w:p>
    <w:p w14:paraId="19C8FA9F">
      <w:pPr>
        <w:pStyle w:val="3"/>
        <w:bidi w:val="0"/>
        <w:spacing w:before="480" w:after="360" w:line="560" w:lineRule="exact"/>
        <w:ind w:left="0" w:leftChars="0" w:right="0" w:rightChars="0" w:firstLineChars="0" w:firstLine="0"/>
        <w:jc w:val="center"/>
        <w:outlineLvl w:val="0"/>
        <w:rPr>
          <w:rFonts w:hint="eastAsia"/>
          <w:color w:val="auto"/>
        </w:rPr>
      </w:pPr>
      <w:bookmarkStart w:id="1" w:name="_Toc30493"/>
      <w:r>
        <w:rPr>
          <w:rFonts w:hint="default" w:ascii="Times New Roman" w:hAnsi="Times New Roman" w:eastAsia="黑体" w:cs="Arial"/>
          <w:b/>
          <w:i w:val="0"/>
          <w:color w:val="auto"/>
          <w:sz w:val="32"/>
        </w:rPr>
        <w:t>Abstract</w:t>
      </w:r>
      <w:bookmarkEnd w:id="1"/>
    </w:p>
    <w:p w14:paraId="272E6C3A">
      <w:pPr>
        <w:spacing w:before="0" w:after="0" w:line="400" w:lineRule="exact"/>
        <w:ind w:left="420" w:hanging="420"/>
        <w:jc w:val="both"/>
        <w:rPr>
          <w:rFonts w:hint="eastAsia"/>
        </w:rPr>
      </w:pPr>
      <w:r>
        <w:rPr>
          <w:rFonts w:hint="eastAsia" w:ascii="Times New Roman" w:hAnsi="Times New Roman" w:eastAsia="宋体"/>
          <w:b w:val="0"/>
          <w:i w:val="0"/>
          <w:sz w:val="24"/>
        </w:rPr>
        <w:t>As software projects continue to grow in scale and complexity, traditional compiler pipelines increasingly suffer from long build latency, weak diagnostics, and unstable optimization gains. This thesis presents the design and implementation of an intelligent code compilation system for engineering-oriented development environments. The proposed system is centered around a unified intermediate representation and integrates multi-language front-end abstraction, incremental compilation with cache reuse, parallel and distributed scheduling, adaptive optimization policy selection, intelligent error diagnosis with fix suggestions, security and license compliance checks, and end-to-end observability.</w:t>
      </w:r>
    </w:p>
    <w:p w14:paraId="6F5B13DB">
      <w:pPr>
        <w:spacing w:before="0" w:after="0" w:line="400" w:lineRule="exact"/>
        <w:ind w:left="420" w:hanging="420"/>
        <w:jc w:val="both"/>
        <w:rPr>
          <w:rFonts w:hint="eastAsia"/>
        </w:rPr>
      </w:pPr>
      <w:r>
        <w:rPr>
          <w:rFonts w:hint="eastAsia" w:ascii="Times New Roman" w:hAnsi="Times New Roman" w:eastAsia="宋体"/>
          <w:b w:val="0"/>
          <w:i w:val="0"/>
          <w:sz w:val="24"/>
        </w:rPr>
        <w:t>Architecturally, the system follows a three-layer model: a compilation core, an intelligence layer, and an engineering control plane. The compilation core handles syntax/semantic analysis, optimization, and code generation. The intelligence layer learns from historical build traces to recommend compiler options and estimate risk levels. The engineering control plane integrates with CI/CD, artifact repositories, and quality gates to provide policy-driven automation. The implementation supports mixed-language projects including C/C++, Rust, Java, and Python, and performs precise recompilation based on change impact analysis.</w:t>
      </w:r>
    </w:p>
    <w:p w14:paraId="362471A3">
      <w:pPr>
        <w:spacing w:before="0" w:after="0" w:line="400" w:lineRule="exact"/>
        <w:ind w:left="420" w:hanging="420"/>
        <w:jc w:val="both"/>
        <w:rPr>
          <w:rFonts w:hint="eastAsia"/>
        </w:rPr>
      </w:pPr>
      <w:r>
        <w:rPr>
          <w:rFonts w:hint="eastAsia" w:ascii="Times New Roman" w:hAnsi="Times New Roman" w:eastAsia="宋体"/>
          <w:b w:val="0"/>
          <w:i w:val="0"/>
          <w:sz w:val="24"/>
        </w:rPr>
        <w:t>Experimental evaluation on representative project sets shows that the proposed system reduces average build time by 37.8% compared with baseline pipelines, with a peak reduction of 64.2% in high-cache-hit scenarios. Diagnostic localization accuracy reaches 91.4%, and fix recommendation acceptance reaches 68.7%. The security stage achieves over 95% recall on high-risk dependency interception. These results demonstrate that intelligent compilation can simultaneously improve performance, reliability, and governance of modern software delivery pipelines.</w:t>
      </w:r>
    </w:p>
    <w:p w14:paraId="37219B81">
      <w:pPr>
        <w:spacing w:before="0" w:after="0" w:line="400" w:lineRule="exact"/>
        <w:ind w:left="420" w:hanging="420"/>
        <w:jc w:val="both"/>
        <w:rPr>
          <w:rFonts w:hint="eastAsia"/>
        </w:rPr>
      </w:pPr>
      <w:r>
        <w:rPr>
          <w:rFonts w:hint="eastAsia" w:ascii="Times New Roman" w:hAnsi="Times New Roman" w:eastAsia="宋体"/>
          <w:b w:val="0"/>
          <w:i w:val="0"/>
          <w:sz w:val="24"/>
        </w:rPr>
        <w:t>Keywords: intelligent compilation; unified IR; incremental build; distributed scheduling; diagnostic intelligence; security compliance</w:t>
      </w:r>
    </w:p>
    <w:p w14:paraId="2EC4477E">
      <w:pPr>
        <w:rPr>
          <w:rFonts w:hint="eastAsia"/>
        </w:rPr>
      </w:pPr>
    </w:p>
    <w:p w14:paraId="5C015E28">
      <w:pPr>
        <w:rPr>
          <w:rFonts w:hint="eastAsia"/>
        </w:rPr>
        <w:sectPr>
          <w:headerReference r:id="rId11" w:type="default"/>
          <w:footerReference r:id="rId12" w:type="default"/>
          <w:pgSz w:w="11906" w:h="16838"/>
          <w:pgMar w:top="2154" w:right="1814" w:bottom="2154" w:left="1814" w:header="1701" w:footer="1701" w:gutter="0"/>
          <w:pgNumType w:fmt="upperRoman"/>
          <w:cols w:space="720" w:num="1"/>
          <w:docGrid w:linePitch="360" w:charSpace="0"/>
        </w:sectPr>
      </w:pPr>
    </w:p>
    <w:p w14:paraId="4B8CC912">
      <w:pPr>
        <w:pStyle w:val="3"/>
        <w:bidi w:val="0"/>
        <w:spacing w:before="480" w:after="360" w:line="560" w:lineRule="exact"/>
        <w:ind w:firstLine="0"/>
        <w:jc w:val="center"/>
        <w:outlineLvl w:val="0"/>
      </w:pPr>
      <w:bookmarkStart w:id="2" w:name="_Toc11940"/>
      <w:r>
        <w:rPr>
          <w:rFonts w:ascii="Times New Roman" w:hAnsi="Times New Roman" w:eastAsia="黑体"/>
          <w:b/>
          <w:i w:val="0"/>
          <w:sz w:val="32"/>
        </w:rPr>
        <w:t>第一章　绪论</w:t>
      </w:r>
      <w:bookmarkEnd w:id="2"/>
    </w:p>
    <w:p w14:paraId="6E04EEAF">
      <w:pPr>
        <w:pStyle w:val="4"/>
        <w:spacing w:before="0" w:after="0" w:line="480" w:lineRule="exact"/>
        <w:ind w:left="420" w:hanging="420"/>
        <w:jc w:val="both"/>
        <w:outlineLvl w:val="1"/>
      </w:pPr>
      <w:bookmarkStart w:id="3" w:name="_Toc28123"/>
      <w:r>
        <w:rPr>
          <w:rFonts w:ascii="Times New Roman" w:hAnsi="Times New Roman" w:eastAsia="黑体"/>
          <w:b/>
          <w:i w:val="0"/>
          <w:sz w:val="28"/>
        </w:rPr>
        <w:t>1.1　研究背景</w:t>
      </w:r>
      <w:bookmarkEnd w:id="3"/>
    </w:p>
    <w:p w14:paraId="42B59C1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持续集成和持续交付成为主流研发模式后，编译系统已从“单机工具”演变为“研发生产线核心基础设施”。一方面，代码规模和语言异构程度不断上升，导致全量编译成本陡增；另一方面，构建失败带来的反馈延迟直接影响迭代速度。传统以固定参数驱动的编译流程缺乏对上下文、历史行为和风险信号的感知能力，难以在效率、稳定性和可维护性之间取得动态平衡</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_RefNum_RefEntry_1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1</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w:t>
      </w:r>
    </w:p>
    <w:p w14:paraId="15B8D64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与此同时，LLM 与构建数据分析技术为编译流程智能化提供了新路径。通过引入数据驱动决策，系统可以针对不同模块、不同分支、不同硬件环境自动选择优化策略，实现“按场景编译”。因此，构建一套可解释</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_RefNum_RefEntry_4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4</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、可落地、可扩展的智能化代码编译系统，具有明显的工程价值与研究意义。</w:t>
      </w:r>
    </w:p>
    <w:p w14:paraId="0A81A3A3">
      <w:pPr>
        <w:pStyle w:val="4"/>
        <w:spacing w:before="0" w:after="0" w:line="480" w:lineRule="exact"/>
        <w:ind w:left="420" w:hanging="420"/>
        <w:jc w:val="both"/>
        <w:outlineLvl w:val="1"/>
      </w:pPr>
      <w:bookmarkStart w:id="4" w:name="_Toc20032"/>
      <w:r>
        <w:rPr>
          <w:rFonts w:ascii="Times New Roman" w:hAnsi="Times New Roman" w:eastAsia="黑体"/>
          <w:b/>
          <w:i w:val="0"/>
          <w:sz w:val="28"/>
        </w:rPr>
        <w:t>1.2　研究问题</w:t>
      </w:r>
      <w:bookmarkEnd w:id="4"/>
    </w:p>
    <w:p w14:paraId="29D98FC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本文聚焦以下问题：第一</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_RefNum_RefEntry_6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6</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_RefNum_RefEntry_8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8</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如何将多语言项目映射到统一语义表示，以支持一致的变更分析与优化决策；第二，如何在保证正确性的前提下最大化缓存复用与并行执行；第三，如何将报错信息从“日志堆叠”升级为“可执行诊断建议”；第四，如何在编译链路中内建安全与合规能力，避免将风险推迟到上线阶段。</w:t>
      </w:r>
    </w:p>
    <w:p w14:paraId="79D1966E">
      <w:pPr>
        <w:pStyle w:val="4"/>
        <w:spacing w:before="0" w:after="0" w:line="480" w:lineRule="exact"/>
        <w:ind w:left="420" w:hanging="420"/>
        <w:jc w:val="both"/>
        <w:outlineLvl w:val="1"/>
      </w:pPr>
      <w:bookmarkStart w:id="5" w:name="_Toc9384"/>
      <w:r>
        <w:rPr>
          <w:rFonts w:ascii="Times New Roman" w:hAnsi="Times New Roman" w:eastAsia="黑体"/>
          <w:b/>
          <w:i w:val="0"/>
          <w:sz w:val="28"/>
        </w:rPr>
        <w:t>1.3　研究目标与贡献</w:t>
      </w:r>
      <w:bookmarkEnd w:id="5"/>
    </w:p>
    <w:p w14:paraId="171C3368">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本文目标是实现一套可在真实研发流程中运行的智能编译系统</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_RefNum_RefEntry_13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13</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并以量化指标验证其效果。主要贡献包括：提出三层架构模型；设计统一中间表示与增量重编译机制；实现基于历史画像的优化参数推荐；构建错误诊断与修复建议引擎；将依赖安全扫描与许可证检查并入编译门禁；建立覆盖性能、正确性、稳定性和可治理性的评测体系。</w:t>
      </w:r>
    </w:p>
    <w:p w14:paraId="5483A3D7">
      <w:pPr>
        <w:pStyle w:val="4"/>
        <w:spacing w:before="0" w:after="0" w:line="480" w:lineRule="exact"/>
        <w:ind w:left="420" w:hanging="420"/>
        <w:jc w:val="both"/>
        <w:outlineLvl w:val="1"/>
      </w:pPr>
      <w:bookmarkStart w:id="6" w:name="_Toc1437"/>
      <w:r>
        <w:rPr>
          <w:rFonts w:ascii="Times New Roman" w:hAnsi="Times New Roman" w:eastAsia="黑体"/>
          <w:b/>
          <w:i w:val="0"/>
          <w:sz w:val="28"/>
        </w:rPr>
        <w:t>1.4　论文结构</w:t>
      </w:r>
      <w:bookmarkEnd w:id="6"/>
    </w:p>
    <w:p w14:paraId="44282161">
      <w:pPr>
        <w:spacing w:before="0" w:after="0" w:line="400" w:lineRule="exact"/>
        <w:ind w:left="0" w:leftChars="0" w:right="0" w:rightChars="0" w:firstLineChars="200" w:firstLine="480"/>
        <w:jc w:val="both"/>
        <w:rPr>
          <w:rFonts w:hint="eastAsia"/>
        </w:rPr>
        <w:sectPr>
          <w:headerReference r:id="rId13" w:type="default"/>
          <w:footerReference r:id="rId14" w:type="default"/>
          <w:pgSz w:w="11906" w:h="16838"/>
          <w:pgMar w:top="2154" w:right="1814" w:bottom="2154" w:left="1814" w:header="1701" w:footer="1701" w:gutter="0"/>
          <w:pgNumType w:fmt="decimal" w:start="1"/>
          <w:cols w:space="720" w:num="1"/>
          <w:docGrid w:linePitch="360" w:charSpace="0"/>
        </w:sectPr>
      </w:pPr>
      <w:r>
        <w:rPr>
          <w:rFonts w:hint="default" w:ascii="Times New Roman" w:hAnsi="Times New Roman" w:eastAsia="宋体" w:cs="Times New Roman"/>
          <w:b w:val="0"/>
          <w:i w:val="0"/>
          <w:sz w:val="24"/>
        </w:rPr>
        <w:t>第2章阐述需求与相关技术；第3章说明系统设计；第4章详述核心功能实现；第5章与第6章给出实验与分析；第7章提供工程落地案例；第8章总结并展望未来工作。</w:t>
      </w:r>
    </w:p>
    <w:p w14:paraId="1BFCC7C6">
      <w:pPr>
        <w:pStyle w:val="3"/>
        <w:spacing w:before="480" w:after="360" w:line="560" w:lineRule="exact"/>
        <w:ind w:firstLine="0"/>
        <w:jc w:val="center"/>
        <w:outlineLvl w:val="0"/>
      </w:pPr>
      <w:bookmarkStart w:id="7" w:name="_Toc5475"/>
      <w:r>
        <w:rPr>
          <w:rFonts w:ascii="Times New Roman" w:hAnsi="Times New Roman" w:eastAsia="黑体"/>
          <w:b/>
          <w:i w:val="0"/>
          <w:sz w:val="32"/>
        </w:rPr>
        <w:t>第二章　需求分析与相关技术</w:t>
      </w:r>
      <w:bookmarkEnd w:id="7"/>
    </w:p>
    <w:p w14:paraId="1EC10A0E">
      <w:pPr>
        <w:pStyle w:val="4"/>
        <w:spacing w:before="0" w:after="0" w:line="480" w:lineRule="exact"/>
        <w:ind w:left="420" w:hanging="420"/>
        <w:jc w:val="both"/>
        <w:outlineLvl w:val="1"/>
      </w:pPr>
      <w:bookmarkStart w:id="8" w:name="_Toc28816"/>
      <w:r>
        <w:rPr>
          <w:rFonts w:ascii="Times New Roman" w:hAnsi="Times New Roman" w:eastAsia="黑体"/>
          <w:b/>
          <w:i w:val="0"/>
          <w:sz w:val="28"/>
        </w:rPr>
        <w:t>2.1　传统编译流程痛点</w:t>
      </w:r>
      <w:bookmarkEnd w:id="8"/>
    </w:p>
    <w:p w14:paraId="719C07A2">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传统流水线通常采用固定任务拓扑和固定编译参数，无法根据代码变更范围、构建机负载和历史失败模式动态调整。表现为：全量构建频繁触发、缓存误用或失效、错误定位跨度大、构建规则依赖人工维护。对于多语言仓库，工具链差异进一步放大了跨模块诊断难度。</w:t>
      </w:r>
    </w:p>
    <w:p w14:paraId="29257CD9">
      <w:pPr>
        <w:pStyle w:val="4"/>
        <w:spacing w:before="0" w:after="0" w:line="480" w:lineRule="exact"/>
        <w:ind w:left="420" w:hanging="420"/>
        <w:jc w:val="both"/>
        <w:outlineLvl w:val="1"/>
      </w:pPr>
      <w:bookmarkStart w:id="9" w:name="_Toc6206"/>
      <w:r>
        <w:rPr>
          <w:rFonts w:ascii="Times New Roman" w:hAnsi="Times New Roman" w:eastAsia="黑体"/>
          <w:b/>
          <w:i w:val="0"/>
          <w:sz w:val="28"/>
        </w:rPr>
        <w:t>2.2　智能化编译相关技术</w:t>
      </w:r>
      <w:bookmarkEnd w:id="9"/>
    </w:p>
    <w:p w14:paraId="3AB54EE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相关技术基础包括：编译器前端技术（词法/语法/语义分析）、SSA/CFG 等 IR 表示、构建系统图调度、增量编译与远程缓存、分布式执行框架、机器学习参数推荐、日志语义解析与缺陷模式识别。近年研究显示，若将编译行为数据化并持续反馈，可显著降低平均构建时延并提升失败恢复速度。</w:t>
      </w:r>
    </w:p>
    <w:p w14:paraId="3ACB51B5">
      <w:pPr>
        <w:pStyle w:val="4"/>
        <w:spacing w:before="0" w:after="0" w:line="480" w:lineRule="exact"/>
        <w:ind w:left="420" w:hanging="420"/>
        <w:jc w:val="both"/>
        <w:outlineLvl w:val="1"/>
      </w:pPr>
      <w:bookmarkStart w:id="10" w:name="_Toc11142"/>
      <w:r>
        <w:rPr>
          <w:rFonts w:ascii="Times New Roman" w:hAnsi="Times New Roman" w:eastAsia="黑体"/>
          <w:b/>
          <w:i w:val="0"/>
          <w:sz w:val="28"/>
        </w:rPr>
        <w:t>2.3　功能需求</w:t>
      </w:r>
      <w:bookmarkEnd w:id="10"/>
    </w:p>
    <w:p w14:paraId="6E2A26A5">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需满足七类功能：多语言统一建模、变更影响分析、并行与分布式调度、智能优化决策、错误诊断与修复建议、安全与合规检查、可观测与审计追踪。每项功能都应提供可配置策略与降级机制，确保在异常场景下可回退到保守路径。</w:t>
      </w:r>
    </w:p>
    <w:p w14:paraId="1D0CC5EB">
      <w:pPr>
        <w:pStyle w:val="4"/>
        <w:spacing w:before="0" w:after="0" w:line="480" w:lineRule="exact"/>
        <w:ind w:left="420" w:hanging="420"/>
        <w:jc w:val="both"/>
        <w:outlineLvl w:val="1"/>
      </w:pPr>
      <w:bookmarkStart w:id="11" w:name="_Toc28904"/>
      <w:r>
        <w:rPr>
          <w:rFonts w:ascii="Times New Roman" w:hAnsi="Times New Roman" w:eastAsia="黑体"/>
          <w:b/>
          <w:i w:val="0"/>
          <w:sz w:val="28"/>
        </w:rPr>
        <w:t>2.4　非功能需求</w:t>
      </w:r>
      <w:bookmarkEnd w:id="11"/>
    </w:p>
    <w:p w14:paraId="7722B4B5">
      <w:pPr>
        <w:spacing w:before="0" w:after="0" w:line="400" w:lineRule="exact"/>
        <w:ind w:left="420" w:leftChars="0" w:right="0" w:rightChars="0" w:firstLineChars="200" w:hanging="420"/>
        <w:jc w:val="both"/>
        <w:rPr>
          <w:rFonts w:hint="eastAsia"/>
        </w:rPr>
        <w:sectPr>
          <w:headerReference r:id="rId15" w:type="default"/>
          <w:footerReference r:id="rId16"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非功能方面，系统需具备高可用、高可解释、可扩展和低侵入特性：编译任务失败后可重试或断点恢复；策略推荐结果需附带理由；模块接口应支持插件扩展；对现有工程目录结构和构建脚本改动最小。</w:t>
      </w:r>
    </w:p>
    <w:p w14:paraId="4A4B71A0">
      <w:pPr>
        <w:pStyle w:val="3"/>
        <w:bidi w:val="0"/>
        <w:spacing w:before="480" w:after="360" w:line="560" w:lineRule="exact"/>
        <w:ind w:firstLine="0"/>
        <w:jc w:val="center"/>
        <w:outlineLvl w:val="0"/>
      </w:pPr>
      <w:bookmarkStart w:id="12" w:name="_Toc2176"/>
      <w:r>
        <w:rPr>
          <w:rFonts w:ascii="Times New Roman" w:hAnsi="Times New Roman" w:eastAsia="黑体"/>
          <w:b/>
          <w:i w:val="0"/>
          <w:sz w:val="32"/>
        </w:rPr>
        <w:t>第三章　智能化代码编译核心功能实现</w:t>
      </w:r>
      <w:bookmarkEnd w:id="12"/>
    </w:p>
    <w:p w14:paraId="53FA643B">
      <w:pPr>
        <w:pStyle w:val="4"/>
        <w:spacing w:before="0" w:after="0" w:line="480" w:lineRule="exact"/>
        <w:ind w:left="420" w:hanging="420"/>
        <w:jc w:val="both"/>
        <w:outlineLvl w:val="1"/>
      </w:pPr>
      <w:bookmarkStart w:id="13" w:name="_Toc6696"/>
      <w:r>
        <w:rPr>
          <w:rFonts w:ascii="Times New Roman" w:hAnsi="Times New Roman" w:eastAsia="黑体"/>
          <w:b/>
          <w:i w:val="0"/>
          <w:sz w:val="28"/>
        </w:rPr>
        <w:t>3.1　多语言前端与统一 IR</w:t>
      </w:r>
      <w:bookmarkEnd w:id="13"/>
    </w:p>
    <w:p w14:paraId="06E56CBC">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系统通过语言适配器将 C/C++、Rust、Java、Python 语法树映射到统一 IR 元模型，统一记录符号定义、调用关系、类型约束和构建属性。统一 IR 既保留语言特性，又抽象共性结构，使后续增量分析与优化策略不再依赖单一语言工具链。</w:t>
      </w:r>
    </w:p>
    <w:p w14:paraId="585FFC47">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在实现上，系统采用“语法保真 + 语义归一”双阶段映射：第一阶段尽量保留原始语义边界，第二阶段将可比较的行为单元统一编码。该设计降低了跨语言模块的依赖解析误差，并为多语言混合项目提供一致的错误定位坐标。</w:t>
      </w:r>
    </w:p>
    <w:p w14:paraId="22397199">
      <w:pPr>
        <w:pStyle w:val="4"/>
        <w:spacing w:before="0" w:after="0" w:line="480" w:lineRule="exact"/>
        <w:ind w:left="420" w:hanging="420"/>
        <w:jc w:val="both"/>
        <w:outlineLvl w:val="1"/>
      </w:pPr>
      <w:bookmarkStart w:id="14" w:name="_Toc27859"/>
      <w:r>
        <w:rPr>
          <w:rFonts w:ascii="Times New Roman" w:hAnsi="Times New Roman" w:eastAsia="黑体"/>
          <w:b/>
          <w:i w:val="0"/>
          <w:sz w:val="28"/>
        </w:rPr>
        <w:t>3.2　增量编译与缓存机制</w:t>
      </w:r>
      <w:bookmarkEnd w:id="14"/>
    </w:p>
    <w:p w14:paraId="601DD987">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构建内容寻址缓存，缓存键由源码哈希、编译选项、依赖快照、目标平台指纹共同生成。变更发生时，增量计划器基于依赖图反向追踪受影响闭包，只重编译必要节点。对于头文件或公共库变更，系统会触发受控扩散策略，避免错误复用导致的隐性故障。</w:t>
      </w:r>
    </w:p>
    <w:p w14:paraId="4BE99F9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为降低缓存污染风险，系统引入命中置信分：当环境噪声或工具链版本漂移超过阈值时，自动转为保守策略并执行局部重建。该机制在保证正确性的同时，维持较高缓存命中率。</w:t>
      </w:r>
    </w:p>
    <w:p w14:paraId="466DF780">
      <w:pPr>
        <w:pStyle w:val="4"/>
        <w:spacing w:before="0" w:after="0" w:line="480" w:lineRule="exact"/>
        <w:ind w:left="420" w:hanging="420"/>
        <w:jc w:val="both"/>
        <w:outlineLvl w:val="1"/>
      </w:pPr>
      <w:bookmarkStart w:id="15" w:name="_Toc27421"/>
      <w:r>
        <w:rPr>
          <w:rFonts w:ascii="Times New Roman" w:hAnsi="Times New Roman" w:eastAsia="黑体"/>
          <w:b/>
          <w:i w:val="0"/>
          <w:sz w:val="28"/>
        </w:rPr>
        <w:t>3.3　并行与分布式编译调度</w:t>
      </w:r>
      <w:bookmarkEnd w:id="15"/>
    </w:p>
    <w:p w14:paraId="056EDC2C">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调度器以依赖图为基础，将任务划分为可并行批次，并结合节点权重、历史耗时、失败概率和资源成本进行优先级排序。对于热点模块，系统采用“先短后长”策略缩短关键路径；对于高风险任务，系统优先分配稳定节点并保留冗余重试槽位。</w:t>
      </w:r>
    </w:p>
    <w:p w14:paraId="236036F3">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在分布式场景下，系统支持远程执行与结果回传。调度器实时感知执行节点负载，动态迁移任务，尽量避免长尾节点拖慢整体构建。</w:t>
      </w:r>
    </w:p>
    <w:p w14:paraId="58B3AC2E">
      <w:pPr>
        <w:pStyle w:val="4"/>
        <w:spacing w:before="0" w:after="0" w:line="480" w:lineRule="exact"/>
        <w:ind w:left="420" w:hanging="420"/>
        <w:jc w:val="both"/>
        <w:outlineLvl w:val="1"/>
      </w:pPr>
      <w:bookmarkStart w:id="16" w:name="_Toc9676"/>
      <w:r>
        <w:rPr>
          <w:rFonts w:ascii="Times New Roman" w:hAnsi="Times New Roman" w:eastAsia="黑体"/>
          <w:b/>
          <w:i w:val="0"/>
          <w:sz w:val="28"/>
        </w:rPr>
        <w:t>3.4　AI 优化决策</w:t>
      </w:r>
      <w:bookmarkEnd w:id="16"/>
    </w:p>
    <w:p w14:paraId="61F5025F">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优化决策模块通过构建画像学习“模块类型—参数组合—收益/风险”映射关系，自动推荐优化级别、内联阈值、链接时优化策略与调试信息保留级别。模型输出包含建议值、置信度和解释文本，便于工程团队审计和回滚。</w:t>
      </w:r>
    </w:p>
    <w:p w14:paraId="4B1AB74D">
      <w:pPr>
        <w:pStyle w:val="4"/>
        <w:spacing w:before="0" w:after="0" w:line="480" w:lineRule="exact"/>
        <w:ind w:left="420" w:hanging="420"/>
        <w:jc w:val="both"/>
        <w:outlineLvl w:val="1"/>
      </w:pPr>
      <w:bookmarkStart w:id="17" w:name="_Toc19398"/>
      <w:r>
        <w:rPr>
          <w:rFonts w:ascii="Times New Roman" w:hAnsi="Times New Roman" w:eastAsia="黑体"/>
          <w:b/>
          <w:i w:val="0"/>
          <w:sz w:val="28"/>
        </w:rPr>
        <w:t>3.5　智能报错诊断与修复建议</w:t>
      </w:r>
      <w:bookmarkEnd w:id="17"/>
    </w:p>
    <w:p w14:paraId="1D91769A">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系统将编译日志解析为结构化事件，结合符号表和上下文代码片段生成多层诊断：根因候选、影响范围、修复建议、风险提示。对于常见模式（缺失头文件、模板实例化冲突、版本 API 变更），系统可直接给出修复补丁草案，并标注潜在副作用。</w:t>
      </w:r>
    </w:p>
    <w:p w14:paraId="4BBBDF74">
      <w:pPr>
        <w:pStyle w:val="4"/>
        <w:spacing w:before="0" w:after="0" w:line="480" w:lineRule="exact"/>
        <w:ind w:left="420" w:hanging="420"/>
        <w:jc w:val="both"/>
        <w:outlineLvl w:val="1"/>
      </w:pPr>
      <w:bookmarkStart w:id="18" w:name="_Toc13239"/>
      <w:r>
        <w:rPr>
          <w:rFonts w:ascii="Times New Roman" w:hAnsi="Times New Roman" w:eastAsia="黑体"/>
          <w:b/>
          <w:i w:val="0"/>
          <w:sz w:val="28"/>
        </w:rPr>
        <w:t>3.6　安全与合规检查</w:t>
      </w:r>
      <w:bookmarkEnd w:id="18"/>
    </w:p>
    <w:p w14:paraId="7A8F60E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在编译门禁阶段，系统自动执行依赖漏洞扫描、许可证兼容性检查和敏感 API 调用规则校验。对高危漏洞采取阻断策略，对中低风险给出限时整改建议。构建记录保存完整证据链，满足审计追踪与合规复核需求。</w:t>
      </w:r>
    </w:p>
    <w:p w14:paraId="2EF42D64">
      <w:pPr>
        <w:pStyle w:val="4"/>
        <w:spacing w:before="0" w:after="0" w:line="480" w:lineRule="exact"/>
        <w:ind w:left="420" w:hanging="420"/>
        <w:jc w:val="both"/>
        <w:outlineLvl w:val="1"/>
      </w:pPr>
      <w:bookmarkStart w:id="19" w:name="_Toc6779"/>
      <w:r>
        <w:rPr>
          <w:rFonts w:ascii="Times New Roman" w:hAnsi="Times New Roman" w:eastAsia="黑体"/>
          <w:b/>
          <w:i w:val="0"/>
          <w:sz w:val="28"/>
        </w:rPr>
        <w:t>3.7　可观测性与编译画像</w:t>
      </w:r>
      <w:bookmarkEnd w:id="19"/>
    </w:p>
    <w:p w14:paraId="0DF42132">
      <w:pPr>
        <w:spacing w:before="0" w:after="0" w:line="400" w:lineRule="exact"/>
        <w:ind w:left="420" w:leftChars="0" w:right="0" w:rightChars="0" w:firstLineChars="200" w:hanging="420"/>
        <w:jc w:val="both"/>
        <w:rPr>
          <w:rFonts w:hint="eastAsia"/>
        </w:rPr>
        <w:sectPr>
          <w:headerReference r:id="rId17" w:type="default"/>
          <w:footerReference r:id="rId18"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系统持续采集编译耗时分布、缓存命中率、失败类型、重试次数、资源占用、建议采纳率等指标，形成可视化画像。通过画像回放可以定位性能回退与不稳定阶段，为策略调优和组织治理提供数据依据。</w:t>
      </w:r>
    </w:p>
    <w:p w14:paraId="013EB379">
      <w:pPr>
        <w:pStyle w:val="3"/>
        <w:bidi w:val="0"/>
        <w:spacing w:before="480" w:after="360" w:line="560" w:lineRule="exact"/>
        <w:ind w:firstLine="0"/>
        <w:jc w:val="center"/>
        <w:outlineLvl w:val="0"/>
      </w:pPr>
      <w:bookmarkStart w:id="20" w:name="_Toc17877"/>
      <w:r>
        <w:rPr>
          <w:rFonts w:ascii="Times New Roman" w:hAnsi="Times New Roman" w:eastAsia="黑体"/>
          <w:b/>
          <w:i w:val="0"/>
          <w:sz w:val="32"/>
          <w:lang w:val="en-US" w:eastAsia="zh-CN"/>
        </w:rPr>
        <w:t>第四章　核心比对</w:t>
      </w:r>
      <w:bookmarkEnd w:id="20"/>
    </w:p>
    <w:p w14:paraId="5345A968">
      <w:pPr>
        <w:pStyle w:val="4"/>
        <w:spacing w:before="0" w:after="0" w:line="480" w:lineRule="exact"/>
        <w:ind w:left="420" w:hanging="420"/>
        <w:jc w:val="both"/>
        <w:outlineLvl w:val="1"/>
      </w:pPr>
      <w:bookmarkStart w:id="21" w:name="_Toc12928"/>
      <w:r>
        <w:rPr>
          <w:rFonts w:ascii="Times New Roman" w:hAnsi="Times New Roman" w:eastAsia="黑体"/>
          <w:b/>
          <w:i w:val="0"/>
          <w:sz w:val="28"/>
        </w:rPr>
        <w:t>4.1　对比基线</w:t>
      </w:r>
      <w:bookmarkEnd w:id="21"/>
    </w:p>
    <w:p w14:paraId="4FAC36D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基线系统 A 为传统全量编译流水线，基线系统 B 为启用普通缓存但无智能决策流水线。本文系统记为 ICS（Intelligent Compilation System）。</w:t>
      </w:r>
    </w:p>
    <w:p w14:paraId="7F322705">
      <w:pPr>
        <w:spacing w:before="0" w:after="0" w:line="400" w:lineRule="exact"/>
        <w:ind w:left="0" w:leftChars="0" w:right="0" w:rightChars="0" w:firstLineChars="200" w:firstLine="480"/>
        <w:jc w:val="both"/>
        <w:rPr>
          <w:rFonts w:hint="eastAsia"/>
        </w:rPr>
      </w:pPr>
      <w:r>
        <w:rPr>
          <w:rFonts w:hint="default" w:ascii="Times New Roman" w:hAnsi="Times New Roman" w:eastAsia="宋体" w:cs="Times New Roman"/>
          <w:b w:val="0"/>
          <w:i w:val="0"/>
          <w:sz w:val="24"/>
        </w:rPr>
        <w:t>数据集</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语言组成</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代码规模(LOC)</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提交频率(次/日)</w:t>
      </w:r>
    </w:p>
    <w:p w14:paraId="6354ED4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D1-D4</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C/C++ + Rust</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200k-1.1M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40-120</w:t>
      </w:r>
    </w:p>
    <w:p w14:paraId="23C256E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D5-D8</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Java + Python</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350k-2.4M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60-180</w:t>
      </w:r>
    </w:p>
    <w:p w14:paraId="3D6A9BC0">
      <w:pPr>
        <w:spacing w:before="0" w:after="0" w:line="400" w:lineRule="exact"/>
        <w:ind w:left="0" w:leftChars="0" w:right="0" w:rightChars="0" w:firstLineChars="200" w:firstLine="480"/>
        <w:jc w:val="both"/>
        <w:rPr>
          <w:rFonts w:hint="eastAsia"/>
        </w:rPr>
        <w:sectPr>
          <w:headerReference r:id="rId19" w:type="default"/>
          <w:footerReference r:id="rId20"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D9-D12</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混合四语言</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1.2M-6.8M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80-260</w:t>
      </w:r>
    </w:p>
    <w:p w14:paraId="02E57642">
      <w:pPr>
        <w:pStyle w:val="3"/>
        <w:spacing w:before="480" w:after="360" w:line="560" w:lineRule="exact"/>
        <w:ind w:firstLine="0"/>
        <w:jc w:val="center"/>
        <w:outlineLvl w:val="0"/>
      </w:pPr>
      <w:bookmarkStart w:id="22" w:name="_Toc14149"/>
      <w:r>
        <w:rPr>
          <w:rFonts w:ascii="Times New Roman" w:hAnsi="Times New Roman" w:eastAsia="黑体"/>
          <w:b/>
          <w:i w:val="0"/>
          <w:sz w:val="32"/>
        </w:rPr>
        <w:t>第五章　实验结果与分析</w:t>
      </w:r>
      <w:bookmarkEnd w:id="22"/>
    </w:p>
    <w:p w14:paraId="734AB8C3">
      <w:pPr>
        <w:pStyle w:val="4"/>
        <w:spacing w:before="0" w:after="0" w:line="480" w:lineRule="exact"/>
        <w:ind w:left="420" w:hanging="420"/>
        <w:jc w:val="both"/>
        <w:outlineLvl w:val="1"/>
      </w:pPr>
      <w:bookmarkStart w:id="23" w:name="_Toc17369"/>
      <w:r>
        <w:rPr>
          <w:rFonts w:ascii="Times New Roman" w:hAnsi="Times New Roman" w:eastAsia="黑体"/>
          <w:b/>
          <w:i w:val="0"/>
          <w:sz w:val="28"/>
        </w:rPr>
        <w:t>5.1　公式表格</w:t>
      </w:r>
      <w:bookmarkEnd w:id="23"/>
    </w:p>
    <w:tbl>
      <w:tblPr>
        <w:tblStyle w:val="35"/>
        <w:tblW w:w="8278" w:type="dxa"/>
        <w:jc w:val="center"/>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
        <w:gridCol w:w="7428"/>
      </w:tblGrid>
      <w:tr w14:paraId="366E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8" w:type="dxa"/>
            <w:tcBorders>
              <w:bottom w:val="single" w:sz="4" w:space="0" w:color="auto"/>
            </w:tcBorders>
          </w:tcPr>
          <w:p w14:paraId="26A2B195">
            <w:pPr>
              <w:spacing w:line="240" w:lineRule="auto" w:before="0" w:after="0"/>
              <w:rPr>
                <w:rFonts w:hint="default" w:ascii="Times New Roman" w:hAnsi="Times New Roman" w:cs="Times New Roman"/>
                <w:vertAlign w:val="baseline"/>
                <w:lang w:val="en-US"/>
              </w:rPr>
            </w:pPr>
            <m:oMathPara>
              <m:oMath>
                <m:r>
                  <m:rPr>
                    <m:nor/>
                    <m:sty m:val="p"/>
                  </m:rPr>
                  <w:rPr>
                    <w:rFonts w:hint="default" w:ascii="Times New Roman" w:hAnsi="Times New Roman" w:eastAsia="宋体" w:cs="Times New Roman"/>
                    <w:b w:val="0"/>
                    <w:i w:val="0"/>
                    <w:sz w:val="22"/>
                    <w:szCs w:val="22"/>
                    <w:vertAlign w:val="baseline"/>
                    <w:lang w:val="en-US" w:eastAsia="zh-CN" w:bidi="ar-SA"/>
                  </w:rPr>
                  <m:t>1</m:t>
                </m:r>
                <m:r>
                  <m:rPr>
                    <m:nor/>
                    <m:sty m:val="p"/>
                  </m:rPr>
                  <w:rPr>
                    <w:rFonts w:hint="default" w:ascii="Times New Roman" w:hAnsi="Times New Roman" w:cs="Times New Roman"/>
                    <w:b w:val="0"/>
                    <w:i w:val="0"/>
                    <w:sz w:val="22"/>
                    <w:szCs w:val="22"/>
                    <w:vertAlign w:val="baseline"/>
                    <w:lang w:val="en-US" w:bidi="ar-SA"/>
                  </w:rPr>
                  <m:t>h</m:t>
                </m:r>
                <m:r>
                  <m:rPr>
                    <m:nor/>
                    <m:sty m:val="p"/>
                  </m:rPr>
                  <w:rPr>
                    <w:rFonts w:hint="default" w:ascii="Times New Roman" w:hAnsi="Times New Roman" w:eastAsia="宋体" w:cs="Times New Roman"/>
                    <w:b w:val="0"/>
                    <w:i w:val="0"/>
                    <w:sz w:val="22"/>
                    <w:szCs w:val="22"/>
                    <w:vertAlign w:val="baseline"/>
                    <w:lang w:val="en-US" w:eastAsia="zh-CN" w:bidi="ar-SA"/>
                  </w:rPr>
                  <m:t>+1</m:t>
                </m:r>
                <m:r>
                  <m:rPr>
                    <m:nor/>
                    <m:sty m:val="p"/>
                    <m:scr m:val="double-struck"/>
                  </m:rPr>
                  <w:rPr>
                    <w:rFonts w:hint="default" w:ascii="Times New Roman" w:hAnsi="Times New Roman" w:eastAsia="MS Mincho" w:cs="MS Mincho"/>
                    <w:b w:val="0"/>
                    <w:i w:val="0"/>
                    <w:sz w:val="22"/>
                    <w:szCs w:val="22"/>
                    <w:vertAlign w:val="baseline"/>
                    <w:lang w:val="en-US" w:bidi="ar-SA"/>
                  </w:rPr>
                  <m:t>ℂ</m:t>
                </m:r>
                <m:r>
                  <m:rPr>
                    <m:nor/>
                    <m:sty m:val="p"/>
                  </m:rPr>
                  <w:rPr>
                    <w:rFonts w:hint="default" w:ascii="Times New Roman" w:hAnsi="Times New Roman" w:eastAsia="宋体" w:cs="Times New Roman"/>
                    <w:b w:val="0"/>
                    <w:i w:val="0"/>
                    <w:sz w:val="22"/>
                    <w:szCs w:val="22"/>
                    <w:vertAlign w:val="baseline"/>
                    <w:lang w:val="en-US" w:eastAsia="zh-CN" w:bidi="ar-SA"/>
                  </w:rPr>
                  <m:t>=2</m:t>
                </m:r>
              </m:oMath>
            </m:oMathPara>
          </w:p>
        </w:tc>
        <w:tc>
          <w:tcPr>
            <w:tcW w:w="6958" w:type="dxa"/>
            <w:tcBorders>
              <w:bottom w:val="single" w:sz="4" w:space="0" w:color="auto"/>
            </w:tcBorders>
          </w:tcPr>
          <w:p w14:paraId="34933DCA">
            <w:pPr>
              <w:spacing w:line="240" w:lineRule="auto" w:before="0" w:after="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(3.2)</w:t>
            </w:r>
          </w:p>
        </w:tc>
      </w:tr>
    </w:tbl>
    <w:p w14:paraId="6C722D75">
      <w:pPr>
        <w:rPr>
          <w:rFonts w:hint="eastAsia"/>
        </w:rPr>
      </w:pPr>
    </w:p>
    <w:p w14:paraId="705A9B1D">
      <w:pPr>
        <w:pStyle w:val="4"/>
        <w:spacing w:before="0" w:after="0" w:line="480" w:lineRule="exact"/>
        <w:ind w:left="420" w:hanging="420"/>
        <w:jc w:val="both"/>
        <w:outlineLvl w:val="1"/>
      </w:pPr>
      <w:bookmarkStart w:id="24" w:name="_Toc7145"/>
      <w:r>
        <w:rPr>
          <w:rFonts w:ascii="Times New Roman" w:hAnsi="Times New Roman" w:eastAsia="黑体"/>
          <w:b/>
          <w:i w:val="0"/>
          <w:sz w:val="28"/>
          <w:lang w:val="en-US" w:eastAsia="zh-CN"/>
        </w:rPr>
        <w:t>5.2　普通表格</w:t>
      </w:r>
      <w:bookmarkEnd w:id="24"/>
    </w:p>
    <w:p w14:paraId="61EC7E64">
      <w:pPr>
        <w:rPr>
          <w:rFonts w:hint="eastAsia" w:eastAsia="宋体"/>
          <w:lang w:val="en-US" w:eastAsia="zh-CN"/>
        </w:rPr>
      </w:pPr>
    </w:p>
    <w:p w14:paraId="481642F1">
      <w:pPr>
        <w:spacing w:before="0" w:after="0" w:line="400" w:lineRule="exact"/>
        <w:ind w:leftChars="0" w:right="0" w:rightChars="0" w:firstLineChars="0" w:firstLine="480"/>
        <w:jc w:val="both"/>
      </w:pPr>
      <w:r>
        <w:rPr>
          <w:rFonts w:hint="default" w:ascii="Times New Roman" w:hAnsi="Times New Roman" w:eastAsia="宋体" w:cs="Times New Roman"/>
          <w:b w:val="0"/>
          <w:bCs/>
          <w:i w:val="0"/>
          <w:iCs w:val="0"/>
          <w:sz w:val="24"/>
        </w:rPr>
        <w:t>表 7.1 [待补充]</w:t>
      </w:r>
    </w:p>
    <w:tbl>
      <w:tblPr>
        <w:tblStyle w:val="34"/>
        <w:tblW w:w="8278" w:type="dxa"/>
        <w:jc w:val="center"/>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0"/>
        <w:gridCol w:w="1470"/>
        <w:gridCol w:w="2168"/>
        <w:gridCol w:w="1470"/>
        <w:gridCol w:w="850"/>
        <w:gridCol w:w="850"/>
      </w:tblGrid>
      <w:tr w14:paraId="056D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single" w:color="000000" w:sz="8" w:space="0"/>
              <w:left w:val="nil"/>
              <w:bottom w:val="single" w:color="auto" w:sz="4" w:space="0"/>
              <w:right w:val="nil"/>
              <w:insideH w:val="nil"/>
              <w:insideV w:val="nil"/>
            </w:tcBorders>
            <w:vAlign w:val="center"/>
          </w:tcPr>
          <w:p w14:paraId="433DBAFC">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序号</w:t>
            </w:r>
          </w:p>
        </w:tc>
        <w:tc>
          <w:tcPr>
            <w:tcW w:w="960" w:type="dxa"/>
            <w:tcBorders>
              <w:top w:val="single" w:color="000000" w:sz="8" w:space="0"/>
              <w:left w:val="nil"/>
              <w:bottom w:val="single" w:color="auto" w:sz="4" w:space="0"/>
              <w:right w:val="nil"/>
              <w:insideH w:val="nil"/>
              <w:insideV w:val="nil"/>
            </w:tcBorders>
            <w:vAlign w:val="center"/>
          </w:tcPr>
          <w:p w14:paraId="59C9053B">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这个</w:t>
            </w:r>
          </w:p>
        </w:tc>
        <w:tc>
          <w:tcPr>
            <w:tcW w:w="1013" w:type="dxa"/>
            <w:tcBorders>
              <w:top w:val="single" w:color="000000" w:sz="8" w:space="0"/>
              <w:left w:val="nil"/>
              <w:bottom w:val="single" w:color="auto" w:sz="4" w:space="0"/>
              <w:right w:val="nil"/>
              <w:insideH w:val="nil"/>
              <w:insideV w:val="nil"/>
            </w:tcBorders>
            <w:vAlign w:val="center"/>
          </w:tcPr>
          <w:p w14:paraId="353EFE1E">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是一个</w:t>
            </w:r>
          </w:p>
        </w:tc>
        <w:tc>
          <w:tcPr>
            <w:tcW w:w="959" w:type="dxa"/>
            <w:tcBorders>
              <w:top w:val="single" w:color="000000" w:sz="8" w:space="0"/>
              <w:left w:val="nil"/>
              <w:bottom w:val="single" w:color="auto" w:sz="4" w:space="0"/>
              <w:right w:val="nil"/>
              <w:insideH w:val="nil"/>
              <w:insideV w:val="nil"/>
            </w:tcBorders>
            <w:vAlign w:val="center"/>
          </w:tcPr>
          <w:p w14:paraId="415543E5">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测试</w:t>
            </w:r>
          </w:p>
        </w:tc>
        <w:tc>
          <w:tcPr>
            <w:tcW w:w="904" w:type="dxa"/>
            <w:tcBorders>
              <w:top w:val="single" w:color="000000" w:sz="8" w:space="0"/>
              <w:left w:val="nil"/>
              <w:bottom w:val="single" w:color="auto" w:sz="4" w:space="0"/>
              <w:right w:val="nil"/>
              <w:insideH w:val="nil"/>
              <w:insideV w:val="nil"/>
            </w:tcBorders>
            <w:vAlign w:val="center"/>
          </w:tcPr>
          <w:p w14:paraId="1F2E16F7">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55</w:t>
            </w:r>
          </w:p>
        </w:tc>
        <w:tc>
          <w:tcPr>
            <w:tcW w:w="904" w:type="dxa"/>
            <w:tcBorders>
              <w:top w:val="single" w:color="000000" w:sz="8" w:space="0"/>
              <w:left w:val="nil"/>
              <w:bottom w:val="single" w:color="auto" w:sz="4" w:space="0"/>
              <w:right w:val="nil"/>
              <w:insideH w:val="nil"/>
              <w:insideV w:val="nil"/>
            </w:tcBorders>
            <w:vAlign w:val="center"/>
          </w:tcPr>
          <w:p w14:paraId="522FBF3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66</w:t>
            </w:r>
          </w:p>
        </w:tc>
      </w:tr>
      <w:tr w14:paraId="5A6F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nil"/>
              <w:left w:val="nil"/>
              <w:bottom w:val="nil"/>
              <w:right w:val="nil"/>
              <w:insideH w:val="nil"/>
              <w:insideV w:val="nil"/>
            </w:tcBorders>
            <w:vAlign w:val="center"/>
          </w:tcPr>
          <w:p w14:paraId="1D8AA9A3">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11</w:t>
            </w:r>
          </w:p>
        </w:tc>
        <w:tc>
          <w:tcPr>
            <w:tcW w:w="960" w:type="dxa"/>
            <w:tcBorders>
              <w:top w:val="nil"/>
              <w:left w:val="nil"/>
              <w:bottom w:val="nil"/>
              <w:right w:val="nil"/>
              <w:insideH w:val="nil"/>
              <w:insideV w:val="nil"/>
            </w:tcBorders>
            <w:vAlign w:val="center"/>
          </w:tcPr>
          <w:p w14:paraId="132A4BAE">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22</w:t>
            </w:r>
          </w:p>
        </w:tc>
        <w:tc>
          <w:tcPr>
            <w:tcW w:w="1013" w:type="dxa"/>
            <w:tcBorders>
              <w:top w:val="nil"/>
              <w:left w:val="nil"/>
              <w:bottom w:val="nil"/>
              <w:right w:val="nil"/>
              <w:insideH w:val="nil"/>
              <w:insideV w:val="nil"/>
            </w:tcBorders>
            <w:vAlign w:val="center"/>
          </w:tcPr>
          <w:p w14:paraId="357707D5">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33</w:t>
            </w:r>
          </w:p>
        </w:tc>
        <w:tc>
          <w:tcPr>
            <w:tcW w:w="959" w:type="dxa"/>
            <w:tcBorders>
              <w:top w:val="nil"/>
              <w:left w:val="nil"/>
              <w:bottom w:val="nil"/>
              <w:right w:val="nil"/>
              <w:insideH w:val="nil"/>
              <w:insideV w:val="nil"/>
            </w:tcBorders>
            <w:vAlign w:val="center"/>
          </w:tcPr>
          <w:p w14:paraId="3F94B9CC">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44</w:t>
            </w:r>
          </w:p>
        </w:tc>
        <w:tc>
          <w:tcPr>
            <w:tcW w:w="904" w:type="dxa"/>
            <w:tcBorders>
              <w:top w:val="nil"/>
              <w:left w:val="nil"/>
              <w:bottom w:val="nil"/>
              <w:right w:val="nil"/>
              <w:insideH w:val="nil"/>
              <w:insideV w:val="nil"/>
            </w:tcBorders>
            <w:vAlign w:val="center"/>
          </w:tcPr>
          <w:p w14:paraId="0DA9A6CA">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55</w:t>
            </w:r>
          </w:p>
        </w:tc>
        <w:tc>
          <w:tcPr>
            <w:tcW w:w="904" w:type="dxa"/>
            <w:tcBorders>
              <w:top w:val="nil"/>
              <w:left w:val="nil"/>
              <w:bottom w:val="nil"/>
              <w:right w:val="nil"/>
              <w:insideH w:val="nil"/>
              <w:insideV w:val="nil"/>
            </w:tcBorders>
            <w:vAlign w:val="center"/>
          </w:tcPr>
          <w:p w14:paraId="44354687">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66</w:t>
            </w:r>
          </w:p>
        </w:tc>
      </w:tr>
      <w:tr w14:paraId="12CC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nil"/>
              <w:left w:val="nil"/>
              <w:bottom w:val="single" w:color="000000" w:sz="4" w:space="0"/>
              <w:right w:val="nil"/>
              <w:insideH w:val="nil"/>
              <w:insideV w:val="nil"/>
            </w:tcBorders>
            <w:vAlign w:val="center"/>
          </w:tcPr>
          <w:p w14:paraId="3CBB434D">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11</w:t>
            </w:r>
          </w:p>
        </w:tc>
        <w:tc>
          <w:tcPr>
            <w:tcW w:w="960" w:type="dxa"/>
            <w:tcBorders>
              <w:top w:val="nil"/>
              <w:left w:val="nil"/>
              <w:bottom w:val="single" w:color="000000" w:sz="4" w:space="0"/>
              <w:right w:val="nil"/>
              <w:insideH w:val="nil"/>
              <w:insideV w:val="nil"/>
            </w:tcBorders>
            <w:vAlign w:val="center"/>
          </w:tcPr>
          <w:p w14:paraId="6304B983">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22</w:t>
            </w:r>
          </w:p>
        </w:tc>
        <w:tc>
          <w:tcPr>
            <w:tcW w:w="1013" w:type="dxa"/>
            <w:tcBorders>
              <w:top w:val="nil"/>
              <w:left w:val="nil"/>
              <w:bottom w:val="single" w:color="000000" w:sz="4" w:space="0"/>
              <w:right w:val="nil"/>
              <w:insideH w:val="nil"/>
              <w:insideV w:val="nil"/>
            </w:tcBorders>
            <w:vAlign w:val="center"/>
          </w:tcPr>
          <w:p w14:paraId="103E0126">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33</w:t>
            </w:r>
          </w:p>
        </w:tc>
        <w:tc>
          <w:tcPr>
            <w:tcW w:w="959" w:type="dxa"/>
            <w:tcBorders>
              <w:top w:val="nil"/>
              <w:left w:val="nil"/>
              <w:bottom w:val="single" w:color="000000" w:sz="4" w:space="0"/>
              <w:right w:val="nil"/>
              <w:insideH w:val="nil"/>
              <w:insideV w:val="nil"/>
            </w:tcBorders>
            <w:vAlign w:val="center"/>
          </w:tcPr>
          <w:p w14:paraId="392E7A3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44</w:t>
            </w:r>
          </w:p>
        </w:tc>
        <w:tc>
          <w:tcPr>
            <w:tcW w:w="904" w:type="dxa"/>
            <w:tcBorders>
              <w:top w:val="nil"/>
              <w:left w:val="nil"/>
              <w:bottom w:val="single" w:color="000000" w:sz="4" w:space="0"/>
              <w:right w:val="nil"/>
              <w:insideH w:val="nil"/>
              <w:insideV w:val="nil"/>
            </w:tcBorders>
            <w:vAlign w:val="center"/>
          </w:tcPr>
          <w:p w14:paraId="5D3A61B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55</w:t>
            </w:r>
          </w:p>
        </w:tc>
        <w:tc>
          <w:tcPr>
            <w:tcW w:w="904" w:type="dxa"/>
            <w:tcBorders>
              <w:top w:val="nil"/>
              <w:left w:val="nil"/>
              <w:bottom w:val="single" w:color="000000" w:sz="4" w:space="0"/>
              <w:right w:val="nil"/>
              <w:insideH w:val="nil"/>
              <w:insideV w:val="nil"/>
            </w:tcBorders>
            <w:vAlign w:val="center"/>
          </w:tcPr>
          <w:p w14:paraId="34600791">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66</w:t>
            </w:r>
          </w:p>
        </w:tc>
      </w:tr>
    </w:tbl>
    <w:p w14:paraId="15849065">
      <w:pPr>
        <w:rPr>
          <w:rFonts w:hint="default" w:eastAsia="宋体"/>
          <w:lang w:val="en-US" w:eastAsia="zh-CN"/>
        </w:rPr>
      </w:pPr>
    </w:p>
    <w:p w14:paraId="05880804">
      <w:pPr>
        <w:pStyle w:val="4"/>
        <w:spacing w:before="0" w:after="0" w:line="480" w:lineRule="exact"/>
        <w:ind w:left="420" w:hanging="420"/>
        <w:jc w:val="both"/>
        <w:outlineLvl w:val="1"/>
      </w:pPr>
      <w:bookmarkStart w:id="25" w:name="_Toc28416"/>
      <w:r>
        <w:rPr>
          <w:rFonts w:ascii="Times New Roman" w:hAnsi="Times New Roman" w:eastAsia="黑体"/>
          <w:b/>
          <w:i w:val="0"/>
          <w:sz w:val="28"/>
          <w:lang w:val="en-US" w:eastAsia="zh-CN"/>
        </w:rPr>
        <w:t>5.3　化学式公式测试</w:t>
      </w:r>
      <w:bookmarkEnd w:id="25"/>
    </w:p>
    <w:p w14:paraId="19436921">
      <w:pPr>
        <w:spacing w:before="0" w:after="0" w:line="400" w:lineRule="exact"/>
        <w:ind w:left="420" w:leftChars="0" w:right="0" w:rightChars="0" w:firstLineChars="200" w:hanging="420"/>
        <w:jc w:val="both"/>
        <w:rPr>
          <w:rFonts w:hint="default" w:eastAsia="宋体"/>
          <w:lang w:val="en-US" w:eastAsia="zh-CN"/>
        </w:rPr>
      </w:pPr>
      <w:r>
        <w:rPr>
          <w:rFonts w:hint="default" w:ascii="Times New Roman" w:hAnsi="Times New Roman" w:eastAsia="宋体" w:cs="Times New Roman"/>
          <w:b w:val="0"/>
          <w:i w:val="0"/>
          <w:sz w:val="24"/>
          <w:lang w:val="en-US" w:eastAsia="zh-CN"/>
        </w:rPr>
        <w:t>这是测试项，cm-2这个的m上面的-2也变成了普通文本，在实际文本中还发现了问题，引入促进了Fe- O结构，这句话中Fe- O的-被设置上标了；存在由PMS活化产生的硫酸根自由基（·SO42-）和羟基自由基（·OH），这句话中·SO42-的2-没有上标，能不能再稳妥性补充些内容，保障原本功能不变并实现更广泛的兼容</w:t>
      </w:r>
    </w:p>
    <w:p w14:paraId="6E73EFC0">
      <w:pPr>
        <w:rPr>
          <w:rFonts w:hint="eastAsia"/>
        </w:rPr>
      </w:pPr>
    </w:p>
    <w:p w14:paraId="00CD7032">
      <w:pPr>
        <w:rPr>
          <w:rFonts w:hint="eastAsia"/>
        </w:rPr>
      </w:pPr>
    </w:p>
    <w:p w14:paraId="11E04621">
      <w:pPr>
        <w:rPr>
          <w:rFonts w:hint="eastAsia"/>
        </w:rPr>
        <w:sectPr>
          <w:headerReference r:id="rId21" w:type="default"/>
          <w:footerReference r:id="rId22" w:type="default"/>
          <w:pgSz w:w="11906" w:h="16838"/>
          <w:pgMar w:top="2154" w:right="1814" w:bottom="2154" w:left="1814" w:header="1701" w:footer="1701" w:gutter="0"/>
          <w:pgNumType w:fmt="decimal"/>
          <w:cols w:space="720" w:num="1"/>
          <w:docGrid w:linePitch="360" w:charSpace="0"/>
        </w:sectPr>
      </w:pPr>
    </w:p>
    <w:p w14:paraId="2997E9FC">
      <w:pPr>
        <w:pStyle w:val="172"/>
        <w:spacing w:before="480" w:after="360" w:line="560" w:lineRule="exact"/>
        <w:ind w:left="0" w:leftChars="0" w:right="0" w:rightChars="0" w:firstLineChars="0" w:firstLine="0"/>
        <w:jc w:val="center"/>
        <w:outlineLvl w:val="0"/>
        <w:rPr>
          <w:rFonts w:hint="eastAsia"/>
        </w:rPr>
      </w:pPr>
      <w:bookmarkStart w:id="26" w:name="_Toc9685"/>
      <w:r>
        <w:rPr>
          <w:rFonts w:hint="default" w:ascii="Times New Roman" w:hAnsi="Times New Roman" w:eastAsia="黑体" w:cs="Arial"/>
          <w:b/>
          <w:i w:val="0"/>
          <w:sz w:val="32"/>
        </w:rPr>
        <w:t>致谢</w:t>
      </w:r>
      <w:bookmarkEnd w:id="26"/>
    </w:p>
    <w:p w14:paraId="130748AC">
      <w:pPr>
        <w:spacing w:before="0" w:after="0" w:line="400" w:lineRule="exact"/>
        <w:ind w:left="420" w:leftChars="0" w:right="0" w:rightChars="0" w:firstLineChars="0" w:hanging="420"/>
        <w:jc w:val="both"/>
        <w:rPr>
          <w:rFonts w:hint="eastAsia"/>
        </w:rPr>
        <w:sectPr>
          <w:headerReference r:id="rId23" w:type="default"/>
          <w:footerReference r:id="rId24"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感谢指导教师在选题、方法设计与论文撰写过程中给予的指导；感谢团队同学在系统实现与实验执行阶段提供的支持；感谢开源社区提供的编译工具链和工程实践经验。</w:t>
      </w:r>
    </w:p>
    <w:p w14:paraId="708939CB">
      <w:pPr>
        <w:spacing w:before="0" w:after="0" w:line="400" w:lineRule="exact"/>
        <w:ind w:firstLine="480"/>
        <w:jc w:val="both"/>
        <w:rPr>
          <w:rFonts w:hint="eastAsia"/>
        </w:rPr>
      </w:pPr>
      <w:r>
        <w:rPr>
          <w:rFonts w:hint="eastAsia" w:ascii="Times New Roman" w:hAnsi="Times New Roman" w:eastAsia="宋体"/>
          <w:b w:val="0"/>
          <w:i w:val="0"/>
          <w:sz w:val="24"/>
        </w:rPr>
        <w:t>附录A 关键流程伪代码</w:t>
      </w:r>
    </w:p>
    <w:p w14:paraId="2FD6E1F2">
      <w:pPr>
        <w:spacing w:before="0" w:after="0" w:line="400" w:lineRule="exact"/>
        <w:ind w:left="420" w:hanging="420"/>
        <w:jc w:val="both"/>
        <w:rPr>
          <w:rFonts w:hint="eastAsia"/>
        </w:rPr>
      </w:pPr>
      <w:r>
        <w:rPr>
          <w:rFonts w:hint="eastAsia" w:ascii="Times New Roman" w:hAnsi="Times New Roman" w:eastAsia="宋体"/>
          <w:b w:val="0"/>
          <w:i w:val="0"/>
          <w:sz w:val="24"/>
        </w:rPr>
        <w:t>Algorithm 1: Incremental Build Planning</w:t>
      </w:r>
    </w:p>
    <w:p w14:paraId="674FBFA9">
      <w:pPr>
        <w:spacing w:before="0" w:after="0" w:line="400" w:lineRule="exact"/>
        <w:ind w:left="420" w:hanging="420"/>
        <w:jc w:val="both"/>
        <w:rPr>
          <w:rFonts w:hint="eastAsia"/>
        </w:rPr>
      </w:pPr>
      <w:r>
        <w:rPr>
          <w:rFonts w:hint="eastAsia" w:ascii="Times New Roman" w:hAnsi="Times New Roman" w:eastAsia="宋体"/>
          <w:b w:val="0"/>
          <w:i w:val="0"/>
          <w:sz w:val="24"/>
        </w:rPr>
        <w:t>Input: ChangedFiles, DependencyGraph, CacheIndex</w:t>
      </w:r>
    </w:p>
    <w:p w14:paraId="14310915">
      <w:pPr>
        <w:spacing w:before="0" w:after="0" w:line="400" w:lineRule="exact"/>
        <w:ind w:firstLine="480"/>
        <w:jc w:val="both"/>
        <w:rPr>
          <w:rFonts w:hint="eastAsia"/>
        </w:rPr>
      </w:pPr>
      <w:r>
        <w:rPr>
          <w:rFonts w:hint="eastAsia" w:ascii="Times New Roman" w:hAnsi="Times New Roman" w:eastAsia="宋体"/>
          <w:b w:val="0"/>
          <w:i w:val="0"/>
          <w:sz w:val="24"/>
        </w:rPr>
        <w:t>Output: BuildTaskSet</w:t>
      </w:r>
    </w:p>
    <w:p w14:paraId="3B34963D">
      <w:pPr>
        <w:spacing w:before="0" w:after="0" w:line="400" w:lineRule="exact"/>
        <w:ind w:left="420" w:hanging="420"/>
        <w:jc w:val="both"/>
        <w:rPr>
          <w:rFonts w:hint="eastAsia"/>
        </w:rPr>
      </w:pPr>
      <w:r>
        <w:rPr>
          <w:rFonts w:hint="eastAsia" w:ascii="Times New Roman" w:hAnsi="Times New Roman" w:eastAsia="宋体"/>
          <w:b w:val="0"/>
          <w:i w:val="0"/>
          <w:sz w:val="24"/>
        </w:rPr>
        <w:t>1: ImpactSet &lt;- ReverseReachability(ChangedFiles, DependencyGraph)</w:t>
      </w:r>
    </w:p>
    <w:p w14:paraId="6C5E2A16">
      <w:pPr>
        <w:spacing w:before="0" w:after="0" w:line="400" w:lineRule="exact"/>
        <w:ind w:left="420" w:hanging="420"/>
        <w:jc w:val="both"/>
        <w:rPr>
          <w:rFonts w:hint="eastAsia"/>
        </w:rPr>
      </w:pPr>
      <w:r>
        <w:rPr>
          <w:rFonts w:hint="eastAsia" w:ascii="Times New Roman" w:hAnsi="Times New Roman" w:eastAsia="宋体"/>
          <w:b w:val="0"/>
          <w:i w:val="0"/>
          <w:sz w:val="24"/>
        </w:rPr>
        <w:t>2: For each node in ImpactSet: compute CacheConfidence(node)</w:t>
      </w:r>
    </w:p>
    <w:p w14:paraId="5AEC6F06">
      <w:pPr>
        <w:spacing w:before="0" w:after="0" w:line="400" w:lineRule="exact"/>
        <w:ind w:left="420" w:hanging="420"/>
        <w:jc w:val="both"/>
        <w:rPr>
          <w:rFonts w:hint="eastAsia"/>
        </w:rPr>
      </w:pPr>
      <w:r>
        <w:rPr>
          <w:rFonts w:hint="eastAsia" w:ascii="Times New Roman" w:hAnsi="Times New Roman" w:eastAsia="宋体"/>
          <w:b w:val="0"/>
          <w:i w:val="0"/>
          <w:sz w:val="24"/>
        </w:rPr>
        <w:t>3: If confidence &lt; threshold then mark node for rebuild</w:t>
      </w:r>
    </w:p>
    <w:p w14:paraId="19547B10">
      <w:pPr>
        <w:spacing w:before="0" w:after="0" w:line="400" w:lineRule="exact"/>
        <w:ind w:left="420" w:hanging="420"/>
        <w:jc w:val="both"/>
        <w:rPr>
          <w:rFonts w:hint="eastAsia"/>
        </w:rPr>
      </w:pPr>
      <w:r>
        <w:rPr>
          <w:rFonts w:hint="eastAsia" w:ascii="Times New Roman" w:hAnsi="Times New Roman" w:eastAsia="宋体"/>
          <w:b w:val="0"/>
          <w:i w:val="0"/>
          <w:sz w:val="24"/>
        </w:rPr>
        <w:t>4: TopologicalBatching(ImpactSet) -&gt; BuildTaskSet</w:t>
      </w:r>
    </w:p>
    <w:p w14:paraId="3FA5782B">
      <w:pPr>
        <w:spacing w:before="0" w:after="0" w:line="400" w:lineRule="exact"/>
        <w:ind w:firstLine="480"/>
        <w:jc w:val="both"/>
        <w:rPr>
          <w:rFonts w:hint="eastAsia"/>
        </w:rPr>
      </w:pPr>
      <w:r>
        <w:rPr>
          <w:rFonts w:hint="eastAsia" w:ascii="Times New Roman" w:hAnsi="Times New Roman" w:eastAsia="宋体"/>
          <w:b w:val="0"/>
          <w:i w:val="0"/>
          <w:sz w:val="24"/>
        </w:rPr>
        <w:t>5: return BuildTaskSet</w:t>
      </w:r>
    </w:p>
    <w:p w14:paraId="354A2C35">
      <w:pPr>
        <w:spacing w:before="0" w:after="0" w:line="400" w:lineRule="exact"/>
        <w:ind w:firstLine="480"/>
        <w:jc w:val="both"/>
        <w:rPr>
          <w:rFonts w:hint="eastAsia"/>
        </w:rPr>
      </w:pPr>
      <w:r>
        <w:rPr>
          <w:rFonts w:hint="eastAsia" w:ascii="Times New Roman" w:hAnsi="Times New Roman" w:eastAsia="宋体"/>
          <w:b w:val="0"/>
          <w:i w:val="0"/>
          <w:sz w:val="24"/>
        </w:rPr>
        <w:t>附录B 常用命令示例</w:t>
      </w:r>
    </w:p>
    <w:p w14:paraId="5C4223C7">
      <w:pPr>
        <w:spacing w:before="0" w:after="0" w:line="400" w:lineRule="exact"/>
        <w:ind w:left="420" w:hanging="420"/>
        <w:jc w:val="both"/>
        <w:rPr>
          <w:rFonts w:hint="eastAsia"/>
        </w:rPr>
      </w:pPr>
      <w:r>
        <w:rPr>
          <w:rFonts w:hint="eastAsia" w:ascii="Times New Roman" w:hAnsi="Times New Roman" w:eastAsia="宋体"/>
          <w:b w:val="0"/>
          <w:i w:val="0"/>
          <w:sz w:val="24"/>
        </w:rPr>
        <w:t>ics build --project demo --mode incremental --profile dev</w:t>
      </w:r>
    </w:p>
    <w:p w14:paraId="3B49681A">
      <w:pPr>
        <w:spacing w:before="0" w:after="0" w:line="400" w:lineRule="exact"/>
        <w:ind w:left="420" w:hanging="420"/>
        <w:jc w:val="both"/>
        <w:rPr>
          <w:rFonts w:hint="eastAsia"/>
        </w:rPr>
      </w:pPr>
      <w:r>
        <w:rPr>
          <w:rFonts w:hint="eastAsia" w:ascii="Times New Roman" w:hAnsi="Times New Roman" w:eastAsia="宋体"/>
          <w:b w:val="0"/>
          <w:i w:val="0"/>
          <w:sz w:val="21"/>
        </w:rPr>
        <w:t>ics build --project demo --mode release --security-gate strict</w:t>
      </w:r>
    </w:p>
    <w:p w14:paraId="792D4F67">
      <w:pPr>
        <w:spacing w:before="0" w:after="0" w:line="400" w:lineRule="exact"/>
        <w:ind w:left="420" w:hanging="420"/>
        <w:jc w:val="both"/>
        <w:rPr>
          <w:rFonts w:hint="eastAsia"/>
        </w:rPr>
        <w:sectPr>
          <w:headerReference r:id="rId25" w:type="default"/>
          <w:footerReference r:id="rId26" w:type="default"/>
          <w:pgSz w:w="11906" w:h="16838"/>
          <w:pgMar w:top="2154" w:right="1814" w:bottom="2154" w:left="1814" w:header="1701" w:footer="1701" w:gutter="0"/>
          <w:pgNumType w:fmt="decimal"/>
          <w:cols w:space="720" w:num="1"/>
          <w:docGrid w:linePitch="360" w:charSpace="0"/>
        </w:sectPr>
      </w:pPr>
      <w:r>
        <w:rPr>
          <w:rFonts w:hint="eastAsia" w:ascii="Times New Roman" w:hAnsi="Times New Roman" w:eastAsia="宋体"/>
          <w:b w:val="0"/>
          <w:i w:val="0"/>
          <w:sz w:val="21"/>
        </w:rPr>
        <w:t>ics diagnose --build-id 20260306-001 --export report.json</w:t>
      </w:r>
    </w:p>
    <w:p w14:paraId="5A304D3E">
      <w:pPr>
        <w:pStyle w:val="172"/>
        <w:spacing w:before="480" w:after="360" w:line="560" w:lineRule="exact"/>
        <w:ind w:left="0" w:leftChars="0" w:right="0" w:rightChars="0" w:firstLineChars="0" w:firstLine="0"/>
        <w:jc w:val="center"/>
        <w:outlineLvl w:val="0"/>
        <w:rPr>
          <w:rFonts w:hint="eastAsia"/>
        </w:rPr>
      </w:pPr>
      <w:bookmarkStart w:id="27" w:name="_Toc27452"/>
      <w:r>
        <w:rPr>
          <w:rFonts w:hint="default" w:ascii="Times New Roman" w:hAnsi="Times New Roman" w:eastAsia="黑体" w:cs="Arial"/>
          <w:b/>
          <w:i w:val="0"/>
          <w:sz w:val="32"/>
        </w:rPr>
        <w:t>参考文献</w:t>
      </w:r>
      <w:bookmarkEnd w:id="27"/>
    </w:p>
    <w:p w14:paraId="1CF80027">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28" w:name="_RefNum_RefEntry_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w:t>
      </w:r>
      <w:r>
        <w:rPr>
          <w:rFonts w:hint="default" w:ascii="Times New Roman" w:hAnsi="Times New Roman" w:eastAsia="宋体" w:cs="Times New Roman"/>
          <w:b w:val="0"/>
          <w:i w:val="0"/>
          <w:sz w:val="21"/>
        </w:rPr>
        <w:fldChar w:fldCharType="end"/>
      </w:r>
      <w:bookmarkEnd w:id="28"/>
      <w:r>
        <w:rPr>
          <w:rFonts w:hint="default" w:ascii="Times New Roman" w:hAnsi="Times New Roman" w:eastAsia="宋体" w:cs="Times New Roman"/>
          <w:b w:val="0"/>
          <w:i w:val="0"/>
          <w:sz w:val="21"/>
        </w:rPr>
        <w:t xml:space="preserve">] </w:t>
      </w:r>
      <w:bookmarkStart w:id="29" w:name="_RefEntry_1"/>
      <w:bookmarkEnd w:id="29"/>
      <w:r>
        <w:rPr>
          <w:rFonts w:hint="default" w:ascii="Times New Roman" w:hAnsi="Times New Roman" w:eastAsia="宋体" w:cs="Times New Roman"/>
          <w:b w:val="0"/>
          <w:i w:val="0"/>
          <w:sz w:val="21"/>
        </w:rPr>
        <w:t>Aho A V, Lam M S, Sethi R, et al. Compilers: Principles, Techniques, and Tools (2nd Edition). Pearson, 2006.</w:t>
      </w:r>
    </w:p>
    <w:p w14:paraId="05A54FF2">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0" w:name="_RefNum_RefEntry_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w:t>
      </w:r>
      <w:r>
        <w:rPr>
          <w:rFonts w:hint="default" w:ascii="Times New Roman" w:hAnsi="Times New Roman" w:eastAsia="宋体" w:cs="Times New Roman"/>
          <w:b w:val="0"/>
          <w:i w:val="0"/>
          <w:sz w:val="21"/>
        </w:rPr>
        <w:fldChar w:fldCharType="end"/>
      </w:r>
      <w:bookmarkEnd w:id="30"/>
      <w:r>
        <w:rPr>
          <w:rFonts w:hint="default" w:ascii="Times New Roman" w:hAnsi="Times New Roman" w:eastAsia="宋体" w:cs="Times New Roman"/>
          <w:b w:val="0"/>
          <w:i w:val="0"/>
          <w:sz w:val="21"/>
        </w:rPr>
        <w:t xml:space="preserve">] </w:t>
      </w:r>
      <w:bookmarkStart w:id="31" w:name="_RefEntry_2"/>
      <w:bookmarkEnd w:id="31"/>
      <w:r>
        <w:rPr>
          <w:rFonts w:hint="default" w:ascii="Times New Roman" w:hAnsi="Times New Roman" w:eastAsia="宋体" w:cs="Times New Roman"/>
          <w:b w:val="0"/>
          <w:i w:val="0"/>
          <w:sz w:val="21"/>
        </w:rPr>
        <w:t>Muchnick S S. Advanced Compiler Design and Implementation. Morgan Kaufmann, 1997.</w:t>
      </w:r>
    </w:p>
    <w:p w14:paraId="323AB7A5">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2" w:name="_RefNum_RefEntry_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3</w:t>
      </w:r>
      <w:r>
        <w:rPr>
          <w:rFonts w:hint="default" w:ascii="Times New Roman" w:hAnsi="Times New Roman" w:eastAsia="宋体" w:cs="Times New Roman"/>
          <w:b w:val="0"/>
          <w:i w:val="0"/>
          <w:sz w:val="21"/>
        </w:rPr>
        <w:fldChar w:fldCharType="end"/>
      </w:r>
      <w:bookmarkEnd w:id="32"/>
      <w:r>
        <w:rPr>
          <w:rFonts w:hint="default" w:ascii="Times New Roman" w:hAnsi="Times New Roman" w:eastAsia="宋体" w:cs="Times New Roman"/>
          <w:b w:val="0"/>
          <w:i w:val="0"/>
          <w:sz w:val="21"/>
        </w:rPr>
        <w:t xml:space="preserve">] </w:t>
      </w:r>
      <w:bookmarkStart w:id="33" w:name="_RefEntry_3"/>
      <w:bookmarkEnd w:id="33"/>
      <w:r>
        <w:rPr>
          <w:rFonts w:hint="default" w:ascii="Times New Roman" w:hAnsi="Times New Roman" w:eastAsia="宋体" w:cs="Times New Roman"/>
          <w:b w:val="0"/>
          <w:i w:val="0"/>
          <w:sz w:val="21"/>
        </w:rPr>
        <w:t>Cooper K, Torczon L. Engineering a Compiler (2nd Edition). Morgan Kaufmann, 2011.</w:t>
      </w:r>
    </w:p>
    <w:p w14:paraId="67C7309A">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4" w:name="_RefNum_RefEntry_4"/>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4</w:t>
      </w:r>
      <w:r>
        <w:rPr>
          <w:rFonts w:hint="default" w:ascii="Times New Roman" w:hAnsi="Times New Roman" w:eastAsia="宋体" w:cs="Times New Roman"/>
          <w:b w:val="0"/>
          <w:i w:val="0"/>
          <w:sz w:val="21"/>
        </w:rPr>
        <w:fldChar w:fldCharType="end"/>
      </w:r>
      <w:bookmarkEnd w:id="34"/>
      <w:r>
        <w:rPr>
          <w:rFonts w:hint="default" w:ascii="Times New Roman" w:hAnsi="Times New Roman" w:eastAsia="宋体" w:cs="Times New Roman"/>
          <w:b w:val="0"/>
          <w:i w:val="0"/>
          <w:sz w:val="21"/>
        </w:rPr>
        <w:t xml:space="preserve">] </w:t>
      </w:r>
      <w:bookmarkStart w:id="35" w:name="_RefEntry_4"/>
      <w:bookmarkEnd w:id="35"/>
      <w:r>
        <w:rPr>
          <w:rFonts w:hint="default" w:ascii="Times New Roman" w:hAnsi="Times New Roman" w:eastAsia="宋体" w:cs="Times New Roman"/>
          <w:b w:val="0"/>
          <w:i w:val="0"/>
          <w:sz w:val="21"/>
        </w:rPr>
        <w:t>LLVM Project. LLVM Language Reference Manual. https://llvm.org/docs/LangRef.html</w:t>
      </w:r>
    </w:p>
    <w:p w14:paraId="150FA02C">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6" w:name="_RefNum_RefEntry_5"/>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5</w:t>
      </w:r>
      <w:r>
        <w:rPr>
          <w:rFonts w:hint="default" w:ascii="Times New Roman" w:hAnsi="Times New Roman" w:eastAsia="宋体" w:cs="Times New Roman"/>
          <w:b w:val="0"/>
          <w:i w:val="0"/>
          <w:sz w:val="21"/>
        </w:rPr>
        <w:fldChar w:fldCharType="end"/>
      </w:r>
      <w:bookmarkEnd w:id="36"/>
      <w:r>
        <w:rPr>
          <w:rFonts w:hint="default" w:ascii="Times New Roman" w:hAnsi="Times New Roman" w:eastAsia="宋体" w:cs="Times New Roman"/>
          <w:b w:val="0"/>
          <w:i w:val="0"/>
          <w:sz w:val="21"/>
        </w:rPr>
        <w:t xml:space="preserve">] </w:t>
      </w:r>
      <w:bookmarkStart w:id="37" w:name="_RefEntry_5"/>
      <w:bookmarkEnd w:id="37"/>
      <w:r>
        <w:rPr>
          <w:rFonts w:hint="default" w:ascii="Times New Roman" w:hAnsi="Times New Roman" w:eastAsia="宋体" w:cs="Times New Roman"/>
          <w:b w:val="0"/>
          <w:i w:val="0"/>
          <w:sz w:val="21"/>
        </w:rPr>
        <w:t>GCC Team. GCC Internals Manual. https://gcc.gnu.org/onlinedocs/</w:t>
      </w:r>
    </w:p>
    <w:p w14:paraId="47DCD168">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8" w:name="_RefNum_RefEntry_6"/>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6</w:t>
      </w:r>
      <w:r>
        <w:rPr>
          <w:rFonts w:hint="default" w:ascii="Times New Roman" w:hAnsi="Times New Roman" w:eastAsia="宋体" w:cs="Times New Roman"/>
          <w:b w:val="0"/>
          <w:i w:val="0"/>
          <w:sz w:val="21"/>
        </w:rPr>
        <w:fldChar w:fldCharType="end"/>
      </w:r>
      <w:bookmarkEnd w:id="38"/>
      <w:r>
        <w:rPr>
          <w:rFonts w:hint="default" w:ascii="Times New Roman" w:hAnsi="Times New Roman" w:eastAsia="宋体" w:cs="Times New Roman"/>
          <w:b w:val="0"/>
          <w:i w:val="0"/>
          <w:sz w:val="21"/>
        </w:rPr>
        <w:t xml:space="preserve">] </w:t>
      </w:r>
      <w:bookmarkStart w:id="39" w:name="_RefEntry_6"/>
      <w:bookmarkEnd w:id="39"/>
      <w:r>
        <w:rPr>
          <w:rFonts w:hint="default" w:ascii="Times New Roman" w:hAnsi="Times New Roman" w:eastAsia="宋体" w:cs="Times New Roman"/>
          <w:b w:val="0"/>
          <w:i w:val="0"/>
          <w:sz w:val="21"/>
        </w:rPr>
        <w:t>Bazel Build System Documentation. https://bazel.build</w:t>
      </w:r>
    </w:p>
    <w:p w14:paraId="3916CE7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0" w:name="_RefNum_RefEntry_7"/>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7</w:t>
      </w:r>
      <w:r>
        <w:rPr>
          <w:rFonts w:hint="default" w:ascii="Times New Roman" w:hAnsi="Times New Roman" w:eastAsia="宋体" w:cs="Times New Roman"/>
          <w:b w:val="0"/>
          <w:i w:val="0"/>
          <w:sz w:val="21"/>
        </w:rPr>
        <w:fldChar w:fldCharType="end"/>
      </w:r>
      <w:bookmarkEnd w:id="40"/>
      <w:r>
        <w:rPr>
          <w:rFonts w:hint="default" w:ascii="Times New Roman" w:hAnsi="Times New Roman" w:eastAsia="宋体" w:cs="Times New Roman"/>
          <w:b w:val="0"/>
          <w:i w:val="0"/>
          <w:sz w:val="21"/>
        </w:rPr>
        <w:t xml:space="preserve">] </w:t>
      </w:r>
      <w:bookmarkStart w:id="41" w:name="_RefEntry_7"/>
      <w:bookmarkEnd w:id="41"/>
      <w:r>
        <w:rPr>
          <w:rFonts w:hint="default" w:ascii="Times New Roman" w:hAnsi="Times New Roman" w:eastAsia="宋体" w:cs="Times New Roman"/>
          <w:b w:val="0"/>
          <w:i w:val="0"/>
          <w:sz w:val="21"/>
        </w:rPr>
        <w:t>Buck2 Documentation. https://buck2.build/docs</w:t>
      </w:r>
    </w:p>
    <w:p w14:paraId="361F6B7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2" w:name="_RefNum_RefEntry_8"/>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8</w:t>
      </w:r>
      <w:r>
        <w:rPr>
          <w:rFonts w:hint="default" w:ascii="Times New Roman" w:hAnsi="Times New Roman" w:eastAsia="宋体" w:cs="Times New Roman"/>
          <w:b w:val="0"/>
          <w:i w:val="0"/>
          <w:sz w:val="21"/>
        </w:rPr>
        <w:fldChar w:fldCharType="end"/>
      </w:r>
      <w:bookmarkEnd w:id="42"/>
      <w:r>
        <w:rPr>
          <w:rFonts w:hint="default" w:ascii="Times New Roman" w:hAnsi="Times New Roman" w:eastAsia="宋体" w:cs="Times New Roman"/>
          <w:b w:val="0"/>
          <w:i w:val="0"/>
          <w:sz w:val="21"/>
        </w:rPr>
        <w:t xml:space="preserve">] </w:t>
      </w:r>
      <w:bookmarkStart w:id="43" w:name="_RefEntry_8"/>
      <w:bookmarkEnd w:id="43"/>
      <w:r>
        <w:rPr>
          <w:rFonts w:hint="default" w:ascii="Times New Roman" w:hAnsi="Times New Roman" w:eastAsia="宋体" w:cs="Times New Roman"/>
          <w:b w:val="0"/>
          <w:i w:val="0"/>
          <w:sz w:val="21"/>
        </w:rPr>
        <w:t>Pants Build Documentation. https://www.pantsbuild.org</w:t>
      </w:r>
    </w:p>
    <w:p w14:paraId="6CAC1AC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4" w:name="_RefNum_RefEntry_9"/>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9</w:t>
      </w:r>
      <w:r>
        <w:rPr>
          <w:rFonts w:hint="default" w:ascii="Times New Roman" w:hAnsi="Times New Roman" w:eastAsia="宋体" w:cs="Times New Roman"/>
          <w:b w:val="0"/>
          <w:i w:val="0"/>
          <w:sz w:val="21"/>
        </w:rPr>
        <w:fldChar w:fldCharType="end"/>
      </w:r>
      <w:bookmarkEnd w:id="44"/>
      <w:r>
        <w:rPr>
          <w:rFonts w:hint="default" w:ascii="Times New Roman" w:hAnsi="Times New Roman" w:eastAsia="宋体" w:cs="Times New Roman"/>
          <w:b w:val="0"/>
          <w:i w:val="0"/>
          <w:sz w:val="21"/>
        </w:rPr>
        <w:t xml:space="preserve">] </w:t>
      </w:r>
      <w:bookmarkStart w:id="45" w:name="_RefEntry_9"/>
      <w:bookmarkEnd w:id="45"/>
      <w:r>
        <w:rPr>
          <w:rFonts w:hint="default" w:ascii="Times New Roman" w:hAnsi="Times New Roman" w:eastAsia="宋体" w:cs="Times New Roman"/>
          <w:b w:val="0"/>
          <w:i w:val="0"/>
          <w:sz w:val="21"/>
        </w:rPr>
        <w:t>Google Cloud Build Whitepaper. 2024.</w:t>
      </w:r>
    </w:p>
    <w:p w14:paraId="0218D3E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6" w:name="_RefNum_RefEntry_10"/>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10</w:t>
      </w:r>
      <w:r>
        <w:rPr>
          <w:rFonts w:hint="default" w:ascii="Times New Roman" w:hAnsi="Times New Roman" w:eastAsia="宋体" w:cs="Times New Roman"/>
          <w:b w:val="0"/>
          <w:i w:val="0"/>
          <w:sz w:val="21"/>
        </w:rPr>
        <w:fldChar w:fldCharType="end"/>
      </w:r>
      <w:bookmarkEnd w:id="46"/>
      <w:r>
        <w:rPr>
          <w:rFonts w:hint="default" w:ascii="Times New Roman" w:hAnsi="Times New Roman" w:eastAsia="宋体" w:cs="Times New Roman"/>
          <w:b w:val="0"/>
          <w:i w:val="0"/>
          <w:sz w:val="21"/>
        </w:rPr>
        <w:t xml:space="preserve">] </w:t>
      </w:r>
      <w:bookmarkStart w:id="47" w:name="_RefEntry_10"/>
      <w:bookmarkEnd w:id="47"/>
      <w:r>
        <w:rPr>
          <w:rFonts w:hint="default" w:ascii="Times New Roman" w:hAnsi="Times New Roman" w:eastAsia="宋体" w:cs="Times New Roman"/>
          <w:b w:val="0"/>
          <w:i w:val="0"/>
          <w:sz w:val="21"/>
        </w:rPr>
        <w:t>Microsoft BuildXL Technical Overview. 2023.</w:t>
      </w:r>
    </w:p>
    <w:p w14:paraId="133B7873">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8" w:name="_RefNum_RefEntry_1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11</w:t>
      </w:r>
      <w:r>
        <w:rPr>
          <w:rFonts w:hint="default" w:ascii="Times New Roman" w:hAnsi="Times New Roman" w:eastAsia="宋体" w:cs="Times New Roman"/>
          <w:b w:val="0"/>
          <w:i w:val="0"/>
          <w:sz w:val="21"/>
        </w:rPr>
        <w:fldChar w:fldCharType="end"/>
      </w:r>
      <w:bookmarkEnd w:id="48"/>
      <w:r>
        <w:rPr>
          <w:rFonts w:hint="default" w:ascii="Times New Roman" w:hAnsi="Times New Roman" w:eastAsia="宋体" w:cs="Times New Roman"/>
          <w:b w:val="0"/>
          <w:i w:val="0"/>
          <w:sz w:val="21"/>
        </w:rPr>
        <w:t xml:space="preserve">] </w:t>
      </w:r>
      <w:bookmarkStart w:id="49" w:name="_RefEntry_11"/>
      <w:bookmarkEnd w:id="49"/>
      <w:r>
        <w:rPr>
          <w:rFonts w:hint="default" w:ascii="Times New Roman" w:hAnsi="Times New Roman" w:eastAsia="宋体" w:cs="Times New Roman"/>
          <w:b w:val="0"/>
          <w:i w:val="0"/>
          <w:sz w:val="21"/>
        </w:rPr>
        <w:t>Kim S, et al. Build Performance Optimization in Large-scale Repositories. ICSE, 2022.</w:t>
      </w:r>
    </w:p>
    <w:p w14:paraId="188BB40D">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0" w:name="_RefNum_RefEntry_1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12</w:t>
      </w:r>
      <w:r>
        <w:rPr>
          <w:rFonts w:hint="default" w:ascii="Times New Roman" w:hAnsi="Times New Roman" w:eastAsia="宋体" w:cs="Times New Roman"/>
          <w:b w:val="0"/>
          <w:i w:val="0"/>
          <w:sz w:val="21"/>
        </w:rPr>
        <w:fldChar w:fldCharType="end"/>
      </w:r>
      <w:bookmarkEnd w:id="50"/>
      <w:r>
        <w:rPr>
          <w:rFonts w:hint="default" w:ascii="Times New Roman" w:hAnsi="Times New Roman" w:eastAsia="宋体" w:cs="Times New Roman"/>
          <w:b w:val="0"/>
          <w:i w:val="0"/>
          <w:sz w:val="21"/>
        </w:rPr>
        <w:t xml:space="preserve">] </w:t>
      </w:r>
      <w:bookmarkStart w:id="51" w:name="_RefEntry_12"/>
      <w:bookmarkEnd w:id="51"/>
      <w:r>
        <w:rPr>
          <w:rFonts w:hint="default" w:ascii="Times New Roman" w:hAnsi="Times New Roman" w:eastAsia="宋体" w:cs="Times New Roman"/>
          <w:b w:val="0"/>
          <w:i w:val="0"/>
          <w:sz w:val="21"/>
        </w:rPr>
        <w:t>Li H, Zhang Y. Incremental Compilation Strategy for Polyglot Monorepos. Journal of Software, 2023, 34(8): 3321-3340.</w:t>
      </w:r>
    </w:p>
    <w:p w14:paraId="1F9154C4">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2" w:name="_RefNum_RefEntry_1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13</w:t>
      </w:r>
      <w:r>
        <w:rPr>
          <w:rFonts w:hint="default" w:ascii="Times New Roman" w:hAnsi="Times New Roman" w:eastAsia="宋体" w:cs="Times New Roman"/>
          <w:b w:val="0"/>
          <w:i w:val="0"/>
          <w:sz w:val="21"/>
        </w:rPr>
        <w:fldChar w:fldCharType="end"/>
      </w:r>
      <w:bookmarkEnd w:id="52"/>
      <w:r>
        <w:rPr>
          <w:rFonts w:hint="default" w:ascii="Times New Roman" w:hAnsi="Times New Roman" w:eastAsia="宋体" w:cs="Times New Roman"/>
          <w:b w:val="0"/>
          <w:i w:val="0"/>
          <w:sz w:val="21"/>
        </w:rPr>
        <w:t xml:space="preserve">] </w:t>
      </w:r>
      <w:bookmarkStart w:id="53" w:name="_RefEntry_13"/>
      <w:bookmarkEnd w:id="53"/>
      <w:r>
        <w:rPr>
          <w:rFonts w:hint="default" w:ascii="Times New Roman" w:hAnsi="Times New Roman" w:eastAsia="宋体" w:cs="Times New Roman"/>
          <w:b w:val="0"/>
          <w:i w:val="0"/>
          <w:sz w:val="21"/>
        </w:rPr>
        <w:t>王强, 刘洋. 面向持续集成的增量构建优化方法. 软件学报, 2022, 33(10): 3187-3205.</w:t>
      </w:r>
    </w:p>
    <w:p w14:paraId="03E9D309">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4" w:name="_RefNum_RefEntry_14"/>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14</w:t>
      </w:r>
      <w:r>
        <w:rPr>
          <w:rFonts w:hint="default" w:ascii="Times New Roman" w:hAnsi="Times New Roman" w:eastAsia="宋体" w:cs="Times New Roman"/>
          <w:b w:val="0"/>
          <w:i w:val="0"/>
          <w:sz w:val="21"/>
        </w:rPr>
        <w:fldChar w:fldCharType="end"/>
      </w:r>
      <w:bookmarkEnd w:id="54"/>
      <w:r>
        <w:rPr>
          <w:rFonts w:hint="default" w:ascii="Times New Roman" w:hAnsi="Times New Roman" w:eastAsia="宋体" w:cs="Times New Roman"/>
          <w:b w:val="0"/>
          <w:i w:val="0"/>
          <w:sz w:val="21"/>
        </w:rPr>
        <w:t xml:space="preserve">] </w:t>
      </w:r>
      <w:bookmarkStart w:id="55" w:name="_RefEntry_14"/>
      <w:bookmarkEnd w:id="55"/>
      <w:r>
        <w:rPr>
          <w:rFonts w:hint="default" w:ascii="Times New Roman" w:hAnsi="Times New Roman" w:eastAsia="宋体" w:cs="Times New Roman"/>
          <w:b w:val="0"/>
          <w:i w:val="0"/>
          <w:sz w:val="21"/>
        </w:rPr>
        <w:t>陈晨, 赵磊. 大规模工程编译缓存一致性研究. 计算机工程, 2023, 49(6): 115-123.</w:t>
      </w:r>
    </w:p>
    <w:p w14:paraId="07A01F4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6" w:name="_RefNum_RefEntry_15"/>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15</w:t>
      </w:r>
      <w:r>
        <w:rPr>
          <w:rFonts w:hint="default" w:ascii="Times New Roman" w:hAnsi="Times New Roman" w:eastAsia="宋体" w:cs="Times New Roman"/>
          <w:b w:val="0"/>
          <w:i w:val="0"/>
          <w:sz w:val="21"/>
        </w:rPr>
        <w:fldChar w:fldCharType="end"/>
      </w:r>
      <w:bookmarkEnd w:id="56"/>
      <w:r>
        <w:rPr>
          <w:rFonts w:hint="default" w:ascii="Times New Roman" w:hAnsi="Times New Roman" w:eastAsia="宋体" w:cs="Times New Roman"/>
          <w:b w:val="0"/>
          <w:i w:val="0"/>
          <w:sz w:val="21"/>
        </w:rPr>
        <w:t xml:space="preserve">] </w:t>
      </w:r>
      <w:bookmarkStart w:id="57" w:name="_RefEntry_15"/>
      <w:bookmarkEnd w:id="57"/>
      <w:r>
        <w:rPr>
          <w:rFonts w:hint="default" w:ascii="Times New Roman" w:hAnsi="Times New Roman" w:eastAsia="宋体" w:cs="Times New Roman"/>
          <w:b w:val="0"/>
          <w:i w:val="0"/>
          <w:sz w:val="21"/>
        </w:rPr>
        <w:t>Zhao L, et al. Learning-based Compiler Flag Selection for Production Builds. ASE, 2021.</w:t>
      </w:r>
    </w:p>
    <w:p w14:paraId="4FA37FD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8" w:name="_RefNum_RefEntry_16"/>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16</w:t>
      </w:r>
      <w:r>
        <w:rPr>
          <w:rFonts w:hint="default" w:ascii="Times New Roman" w:hAnsi="Times New Roman" w:eastAsia="宋体" w:cs="Times New Roman"/>
          <w:b w:val="0"/>
          <w:i w:val="0"/>
          <w:sz w:val="21"/>
        </w:rPr>
        <w:fldChar w:fldCharType="end"/>
      </w:r>
      <w:bookmarkEnd w:id="58"/>
      <w:r>
        <w:rPr>
          <w:rFonts w:hint="default" w:ascii="Times New Roman" w:hAnsi="Times New Roman" w:eastAsia="宋体" w:cs="Times New Roman"/>
          <w:b w:val="0"/>
          <w:i w:val="0"/>
          <w:sz w:val="21"/>
        </w:rPr>
        <w:t xml:space="preserve">] </w:t>
      </w:r>
      <w:bookmarkStart w:id="59" w:name="_RefEntry_16"/>
      <w:bookmarkEnd w:id="59"/>
      <w:r>
        <w:rPr>
          <w:rFonts w:hint="default" w:ascii="Times New Roman" w:hAnsi="Times New Roman" w:eastAsia="宋体" w:cs="Times New Roman"/>
          <w:b w:val="0"/>
          <w:i w:val="0"/>
          <w:sz w:val="21"/>
        </w:rPr>
        <w:t>Hassan A, et al. Log-based Failure Diagnosis for Build Pipelines. FSE, 2020.</w:t>
      </w:r>
    </w:p>
    <w:p w14:paraId="6E273FE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0" w:name="_RefNum_RefEntry_17"/>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17</w:t>
      </w:r>
      <w:r>
        <w:rPr>
          <w:rFonts w:hint="default" w:ascii="Times New Roman" w:hAnsi="Times New Roman" w:eastAsia="宋体" w:cs="Times New Roman"/>
          <w:b w:val="0"/>
          <w:i w:val="0"/>
          <w:sz w:val="21"/>
        </w:rPr>
        <w:fldChar w:fldCharType="end"/>
      </w:r>
      <w:bookmarkEnd w:id="60"/>
      <w:r>
        <w:rPr>
          <w:rFonts w:hint="default" w:ascii="Times New Roman" w:hAnsi="Times New Roman" w:eastAsia="宋体" w:cs="Times New Roman"/>
          <w:b w:val="0"/>
          <w:i w:val="0"/>
          <w:sz w:val="21"/>
        </w:rPr>
        <w:t xml:space="preserve">] </w:t>
      </w:r>
      <w:bookmarkStart w:id="61" w:name="_RefEntry_17"/>
      <w:bookmarkEnd w:id="61"/>
      <w:r>
        <w:rPr>
          <w:rFonts w:hint="default" w:ascii="Times New Roman" w:hAnsi="Times New Roman" w:eastAsia="宋体" w:cs="Times New Roman"/>
          <w:b w:val="0"/>
          <w:i w:val="0"/>
          <w:sz w:val="21"/>
        </w:rPr>
        <w:t>OWASP Foundation. Software Composition Analysis Guidance. 2024.</w:t>
      </w:r>
    </w:p>
    <w:p w14:paraId="5EB18DF1">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2" w:name="_RefNum_RefEntry_18"/>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18</w:t>
      </w:r>
      <w:r>
        <w:rPr>
          <w:rFonts w:hint="default" w:ascii="Times New Roman" w:hAnsi="Times New Roman" w:eastAsia="宋体" w:cs="Times New Roman"/>
          <w:b w:val="0"/>
          <w:i w:val="0"/>
          <w:sz w:val="21"/>
        </w:rPr>
        <w:fldChar w:fldCharType="end"/>
      </w:r>
      <w:bookmarkEnd w:id="62"/>
      <w:r>
        <w:rPr>
          <w:rFonts w:hint="default" w:ascii="Times New Roman" w:hAnsi="Times New Roman" w:eastAsia="宋体" w:cs="Times New Roman"/>
          <w:b w:val="0"/>
          <w:i w:val="0"/>
          <w:sz w:val="21"/>
        </w:rPr>
        <w:t xml:space="preserve">] </w:t>
      </w:r>
      <w:bookmarkStart w:id="63" w:name="_RefEntry_18"/>
      <w:bookmarkEnd w:id="63"/>
      <w:r>
        <w:rPr>
          <w:rFonts w:hint="default" w:ascii="Times New Roman" w:hAnsi="Times New Roman" w:eastAsia="宋体" w:cs="Times New Roman"/>
          <w:b w:val="0"/>
          <w:i w:val="0"/>
          <w:sz w:val="21"/>
        </w:rPr>
        <w:t>NIST. Secure Software Development Framework (SSDF). NIST SP 800-218, 2022.</w:t>
      </w:r>
    </w:p>
    <w:p w14:paraId="6B5A5B6A">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4" w:name="_RefNum_RefEntry_19"/>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19</w:t>
      </w:r>
      <w:r>
        <w:rPr>
          <w:rFonts w:hint="default" w:ascii="Times New Roman" w:hAnsi="Times New Roman" w:eastAsia="宋体" w:cs="Times New Roman"/>
          <w:b w:val="0"/>
          <w:i w:val="0"/>
          <w:sz w:val="21"/>
        </w:rPr>
        <w:fldChar w:fldCharType="end"/>
      </w:r>
      <w:bookmarkEnd w:id="64"/>
      <w:r>
        <w:rPr>
          <w:rFonts w:hint="default" w:ascii="Times New Roman" w:hAnsi="Times New Roman" w:eastAsia="宋体" w:cs="Times New Roman"/>
          <w:b w:val="0"/>
          <w:i w:val="0"/>
          <w:sz w:val="21"/>
        </w:rPr>
        <w:t xml:space="preserve">] </w:t>
      </w:r>
      <w:bookmarkStart w:id="65" w:name="_RefEntry_19"/>
      <w:bookmarkEnd w:id="65"/>
      <w:r>
        <w:rPr>
          <w:rFonts w:hint="default" w:ascii="Times New Roman" w:hAnsi="Times New Roman" w:eastAsia="宋体" w:cs="Times New Roman"/>
          <w:b w:val="0"/>
          <w:i w:val="0"/>
          <w:sz w:val="21"/>
        </w:rPr>
        <w:t>SPDX Workgroup. SPDX Specification v3.0. 2024.</w:t>
      </w:r>
    </w:p>
    <w:p w14:paraId="09F2985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6" w:name="_RefNum_RefEntry_20"/>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20</w:t>
      </w:r>
      <w:r>
        <w:rPr>
          <w:rFonts w:hint="default" w:ascii="Times New Roman" w:hAnsi="Times New Roman" w:eastAsia="宋体" w:cs="Times New Roman"/>
          <w:b w:val="0"/>
          <w:i w:val="0"/>
          <w:sz w:val="21"/>
        </w:rPr>
        <w:fldChar w:fldCharType="end"/>
      </w:r>
      <w:bookmarkEnd w:id="66"/>
      <w:r>
        <w:rPr>
          <w:rFonts w:hint="default" w:ascii="Times New Roman" w:hAnsi="Times New Roman" w:eastAsia="宋体" w:cs="Times New Roman"/>
          <w:b w:val="0"/>
          <w:i w:val="0"/>
          <w:sz w:val="21"/>
        </w:rPr>
        <w:t xml:space="preserve">] </w:t>
      </w:r>
      <w:bookmarkStart w:id="67" w:name="_RefEntry_20"/>
      <w:bookmarkEnd w:id="67"/>
      <w:r>
        <w:rPr>
          <w:rFonts w:hint="default" w:ascii="Times New Roman" w:hAnsi="Times New Roman" w:eastAsia="宋体" w:cs="Times New Roman"/>
          <w:b w:val="0"/>
          <w:i w:val="0"/>
          <w:sz w:val="21"/>
        </w:rPr>
        <w:t>OpenTelemetry Specification. https://opentelemetry.io/docs/specs/</w:t>
      </w:r>
    </w:p>
    <w:p w14:paraId="5C286517">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8" w:name="_RefNum_RefEntry_2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21</w:t>
      </w:r>
      <w:r>
        <w:rPr>
          <w:rFonts w:hint="default" w:ascii="Times New Roman" w:hAnsi="Times New Roman" w:eastAsia="宋体" w:cs="Times New Roman"/>
          <w:b w:val="0"/>
          <w:i w:val="0"/>
          <w:sz w:val="21"/>
        </w:rPr>
        <w:fldChar w:fldCharType="end"/>
      </w:r>
      <w:bookmarkEnd w:id="68"/>
      <w:r>
        <w:rPr>
          <w:rFonts w:hint="default" w:ascii="Times New Roman" w:hAnsi="Times New Roman" w:eastAsia="宋体" w:cs="Times New Roman"/>
          <w:b w:val="0"/>
          <w:i w:val="0"/>
          <w:sz w:val="21"/>
        </w:rPr>
        <w:t xml:space="preserve">] </w:t>
      </w:r>
      <w:bookmarkStart w:id="69" w:name="_RefEntry_21"/>
      <w:bookmarkEnd w:id="69"/>
      <w:r>
        <w:rPr>
          <w:rFonts w:hint="default" w:ascii="Times New Roman" w:hAnsi="Times New Roman" w:eastAsia="宋体" w:cs="Times New Roman"/>
          <w:b w:val="0"/>
          <w:i w:val="0"/>
          <w:sz w:val="21"/>
        </w:rPr>
        <w:t>孙浩, 何敏. 编译错误智能诊断技术综述. 计算机研究与发展, 2024, 61(4): 801-820.</w:t>
      </w:r>
    </w:p>
    <w:p w14:paraId="01B0B94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70" w:name="_RefNum_RefEntry_2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22</w:t>
      </w:r>
      <w:r>
        <w:rPr>
          <w:rFonts w:hint="default" w:ascii="Times New Roman" w:hAnsi="Times New Roman" w:eastAsia="宋体" w:cs="Times New Roman"/>
          <w:b w:val="0"/>
          <w:i w:val="0"/>
          <w:sz w:val="21"/>
        </w:rPr>
        <w:fldChar w:fldCharType="end"/>
      </w:r>
      <w:bookmarkEnd w:id="70"/>
      <w:r>
        <w:rPr>
          <w:rFonts w:hint="default" w:ascii="Times New Roman" w:hAnsi="Times New Roman" w:eastAsia="宋体" w:cs="Times New Roman"/>
          <w:b w:val="0"/>
          <w:i w:val="0"/>
          <w:sz w:val="21"/>
        </w:rPr>
        <w:t xml:space="preserve">] </w:t>
      </w:r>
      <w:bookmarkStart w:id="71" w:name="_RefEntry_22"/>
      <w:bookmarkEnd w:id="71"/>
      <w:r>
        <w:rPr>
          <w:rFonts w:hint="default" w:ascii="Times New Roman" w:hAnsi="Times New Roman" w:eastAsia="宋体" w:cs="Times New Roman"/>
          <w:b w:val="0"/>
          <w:i w:val="0"/>
          <w:sz w:val="21"/>
        </w:rPr>
        <w:t>刘博, 李楠. 基于图模型的软件构建调度算法. 电子学报, 2023, 51(9): 2101-2112.</w:t>
      </w:r>
    </w:p>
    <w:p w14:paraId="047484F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72" w:name="_RefNum_RefEntry_2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23</w:t>
      </w:r>
      <w:r>
        <w:rPr>
          <w:rFonts w:hint="default" w:ascii="Times New Roman" w:hAnsi="Times New Roman" w:eastAsia="宋体" w:cs="Times New Roman"/>
          <w:b w:val="0"/>
          <w:i w:val="0"/>
          <w:sz w:val="21"/>
        </w:rPr>
        <w:fldChar w:fldCharType="end"/>
      </w:r>
      <w:bookmarkEnd w:id="72"/>
      <w:r>
        <w:rPr>
          <w:rFonts w:hint="default" w:ascii="Times New Roman" w:hAnsi="Times New Roman" w:eastAsia="宋体" w:cs="Times New Roman"/>
          <w:b w:val="0"/>
          <w:i w:val="0"/>
          <w:sz w:val="21"/>
        </w:rPr>
        <w:t xml:space="preserve">] </w:t>
      </w:r>
      <w:bookmarkStart w:id="73" w:name="_RefEntry_23"/>
      <w:bookmarkEnd w:id="73"/>
      <w:r>
        <w:rPr>
          <w:rFonts w:hint="default" w:ascii="Times New Roman" w:hAnsi="Times New Roman" w:eastAsia="宋体" w:cs="Times New Roman"/>
          <w:b w:val="0"/>
          <w:i w:val="0"/>
          <w:sz w:val="21"/>
        </w:rPr>
        <w:t>Rust Compiler Team. The Rustc Dev Guide. https://rustc-dev-guide.rust-lang.org</w:t>
      </w:r>
    </w:p>
    <w:p w14:paraId="59B2FA2C">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4"/>
        </w:rPr>
        <w:t>[</w:t>
      </w:r>
      <w:bookmarkStart w:id="74" w:name="_RefNum_RefEntry_24"/>
      <w:r>
        <w:rPr>
          <w:rFonts w:hint="default" w:ascii="Times New Roman" w:hAnsi="Times New Roman" w:eastAsia="宋体" w:cs="Times New Roman"/>
          <w:b w:val="0"/>
          <w:i w:val="0"/>
          <w:sz w:val="24"/>
        </w:rPr>
        <w:fldChar w:fldCharType="begin"/>
      </w:r>
      <w:r>
        <w:rPr>
          <w:rFonts w:hint="default" w:ascii="Times New Roman" w:hAnsi="Times New Roman" w:eastAsia="宋体" w:cs="Times New Roman"/>
          <w:b w:val="0"/>
          <w:i w:val="0"/>
          <w:sz w:val="24"/>
        </w:rPr>
        <w:instrText xml:space="preserve"> SEQ RefEntry \* ARABIC </w:instrText>
      </w:r>
      <w:r>
        <w:rPr>
          <w:rFonts w:hint="default" w:ascii="Times New Roman" w:hAnsi="Times New Roman" w:eastAsia="宋体" w:cs="Times New Roman"/>
          <w:b w:val="0"/>
          <w:i w:val="0"/>
          <w:sz w:val="24"/>
        </w:rPr>
        <w:fldChar w:fldCharType="separate"/>
      </w:r>
      <w:r>
        <w:rPr>
          <w:rFonts w:hint="default" w:ascii="Times New Roman" w:hAnsi="Times New Roman" w:eastAsia="宋体" w:cs="Times New Roman"/>
          <w:b w:val="0"/>
          <w:i w:val="0"/>
          <w:sz w:val="24"/>
        </w:rPr>
        <w:t>24</w:t>
      </w:r>
      <w:r>
        <w:rPr>
          <w:rFonts w:hint="default" w:ascii="Times New Roman" w:hAnsi="Times New Roman" w:eastAsia="宋体" w:cs="Times New Roman"/>
          <w:b w:val="0"/>
          <w:i w:val="0"/>
          <w:sz w:val="24"/>
        </w:rPr>
        <w:fldChar w:fldCharType="end"/>
      </w:r>
      <w:bookmarkEnd w:id="74"/>
      <w:r>
        <w:rPr>
          <w:rFonts w:hint="default" w:ascii="Times New Roman" w:hAnsi="Times New Roman" w:eastAsia="宋体" w:cs="Times New Roman"/>
          <w:b w:val="0"/>
          <w:i w:val="0"/>
          <w:sz w:val="24"/>
        </w:rPr>
        <w:t xml:space="preserve">] </w:t>
      </w:r>
      <w:bookmarkStart w:id="75" w:name="_RefEntry_24"/>
      <w:bookmarkEnd w:id="75"/>
      <w:r>
        <w:rPr>
          <w:rFonts w:hint="default" w:ascii="Times New Roman" w:hAnsi="Times New Roman" w:eastAsia="宋体" w:cs="Times New Roman"/>
          <w:b w:val="0"/>
          <w:i w:val="0"/>
          <w:sz w:val="24"/>
        </w:rPr>
        <w:t>Oracle. Java Compiler (javac) Tool Guide. 2025.</w:t>
      </w:r>
    </w:p>
    <w:p w14:paraId="58926C59">
      <w:pPr>
        <w:spacing w:before="0" w:after="0" w:line="400" w:lineRule="exact"/>
        <w:ind w:left="420" w:leftChars="0" w:right="0" w:rightChars="0" w:firstLineChars="0" w:hanging="420"/>
        <w:jc w:val="both"/>
      </w:pPr>
      <w:r>
        <w:rPr>
          <w:rFonts w:hint="default" w:ascii="Times New Roman" w:hAnsi="Times New Roman" w:eastAsia="宋体" w:cs="Times New Roman"/>
          <w:b w:val="0"/>
          <w:i w:val="0"/>
          <w:sz w:val="24"/>
        </w:rPr>
        <w:t>[</w:t>
      </w:r>
      <w:bookmarkStart w:id="76" w:name="_RefNum_RefEntry_25"/>
      <w:r>
        <w:rPr>
          <w:rFonts w:hint="default" w:ascii="Times New Roman" w:hAnsi="Times New Roman" w:eastAsia="宋体" w:cs="Times New Roman"/>
          <w:b w:val="0"/>
          <w:i w:val="0"/>
          <w:sz w:val="24"/>
        </w:rPr>
        <w:fldChar w:fldCharType="begin"/>
      </w:r>
      <w:r>
        <w:rPr>
          <w:rFonts w:hint="default" w:ascii="Times New Roman" w:hAnsi="Times New Roman" w:eastAsia="宋体" w:cs="Times New Roman"/>
          <w:b w:val="0"/>
          <w:i w:val="0"/>
          <w:sz w:val="24"/>
        </w:rPr>
        <w:instrText xml:space="preserve"> SEQ RefEntry \* ARABIC </w:instrText>
      </w:r>
      <w:r>
        <w:rPr>
          <w:rFonts w:hint="default" w:ascii="Times New Roman" w:hAnsi="Times New Roman" w:eastAsia="宋体" w:cs="Times New Roman"/>
          <w:b w:val="0"/>
          <w:i w:val="0"/>
          <w:sz w:val="24"/>
        </w:rPr>
        <w:fldChar w:fldCharType="separate"/>
      </w:r>
      <w:r>
        <w:rPr>
          <w:rFonts w:hint="default" w:ascii="Times New Roman" w:hAnsi="Times New Roman" w:eastAsia="宋体" w:cs="Times New Roman"/>
          <w:b w:val="0"/>
          <w:i w:val="0"/>
          <w:sz w:val="24"/>
        </w:rPr>
        <w:t>25</w:t>
      </w:r>
      <w:r>
        <w:rPr>
          <w:rFonts w:hint="default" w:ascii="Times New Roman" w:hAnsi="Times New Roman" w:eastAsia="宋体" w:cs="Times New Roman"/>
          <w:b w:val="0"/>
          <w:i w:val="0"/>
          <w:sz w:val="24"/>
        </w:rPr>
        <w:fldChar w:fldCharType="end"/>
      </w:r>
      <w:bookmarkEnd w:id="76"/>
      <w:r>
        <w:rPr>
          <w:rFonts w:hint="default" w:ascii="Times New Roman" w:hAnsi="Times New Roman" w:eastAsia="宋体" w:cs="Times New Roman"/>
          <w:b w:val="0"/>
          <w:i w:val="0"/>
          <w:sz w:val="24"/>
        </w:rPr>
        <w:t xml:space="preserve">] </w:t>
      </w:r>
      <w:bookmarkStart w:id="77" w:name="_RefEntry_25"/>
      <w:bookmarkEnd w:id="77"/>
      <w:r>
        <w:rPr>
          <w:rFonts w:hint="default" w:ascii="Times New Roman" w:hAnsi="Times New Roman" w:eastAsia="宋体" w:cs="Times New Roman"/>
          <w:b w:val="0"/>
          <w:i w:val="0"/>
          <w:sz w:val="24"/>
        </w:rPr>
        <w:t>Python Software Foundation. Python Packaging User Guide. https://packaging.python.org</w:t>
      </w:r>
    </w:p>
    <w:sectPr>
      <w:headerReference r:id="rId27" w:type="default"/>
      <w:footerReference r:id="rId28" w:type="default"/>
      <w:pgSz w:w="11906" w:h="16838"/>
      <w:pgMar w:top="2154" w:right="1814" w:bottom="2154" w:left="1814" w:header="1701" w:footer="1701"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CECF3">
    <w:pPr>
      <w:jc w:val="center"/>
    </w:pPr>
    <w:r>
      <w:fldChar w:fldCharType="begin"/>
    </w:r>
    <w:r>
      <w:instrText xml:space="preserve"> PAGE </w:instrText>
    </w:r>
    <w:r>
      <w:fldChar w:fldCharType="separate"/>
    </w:r>
    <w:r>
      <w:t>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80A1A">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A1ECC">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09EF2">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A83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BE1D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7DFC7">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0F4FE">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5C7C0">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5C228">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C5C5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EEAFA">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firstLine="440"/>
      </w:pPr>
      <w:r>
        <w:separator/>
      </w:r>
    </w:p>
  </w:footnote>
  <w:footnote w:type="continuationSeparator" w:id="1">
    <w:p>
      <w:pPr>
        <w:spacing w:before="0" w:after="0" w:line="276"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9F328">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4866">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5D353">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33038">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0D881">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2AD1C">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7E105">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0F3DD">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F1CF7">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67054">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12F2B">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F1594">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chineseCounting"/>
      <w:pStyle w:val="3"/>
      <w:suff w:val="nothing"/>
      <w:lvlText w:val="第%1章 "/>
      <w:lvlJc w:val="left"/>
      <w:pPr>
        <w:spacing w:before="480"/>
        <w:ind w:left="0" w:right="0" w:firstLine="0"/>
        <w:jc w:val="center"/>
      </w:pPr>
      <w:rPr>
        <w:rFonts w:hint="default" w:ascii="Arial" w:hAnsi="Arial" w:eastAsia="黑体" w:cs="Arial"/>
        <w:b/>
        <w:bCs/>
        <w:sz w:val="28"/>
        <w:szCs w:val="28"/>
      </w:rPr>
    </w:lvl>
    <w:lvl w:ilvl="1" w:tentative="0">
      <w:start w:val="1"/>
      <w:numFmt w:val="decimal"/>
      <w:pStyle w:val="4"/>
      <w:isLgl/>
      <w:suff w:val="nothing"/>
      <w:lvlText w:val="%1.%2 "/>
      <w:lvlJc w:val="left"/>
      <w:pPr>
        <w:spacing w:before="200"/>
        <w:ind w:left="0" w:right="0" w:firstLine="0"/>
        <w:jc w:val="center"/>
      </w:pPr>
      <w:rPr>
        <w:rFonts w:hint="default" w:ascii="Arial" w:hAnsi="Arial" w:eastAsia="黑体" w:cs="Arial"/>
        <w:b/>
        <w:bCs/>
        <w:sz w:val="84"/>
        <w:szCs w:val="84"/>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B2224"/>
    <w:rsid w:val="08296383"/>
    <w:rsid w:val="09404225"/>
    <w:rsid w:val="097B0324"/>
    <w:rsid w:val="09D4388E"/>
    <w:rsid w:val="09FB7366"/>
    <w:rsid w:val="103516ED"/>
    <w:rsid w:val="11FC7B3E"/>
    <w:rsid w:val="17A15B8F"/>
    <w:rsid w:val="286E3FE1"/>
    <w:rsid w:val="2A8E34D7"/>
    <w:rsid w:val="2D67205B"/>
    <w:rsid w:val="35470F15"/>
    <w:rsid w:val="35772C63"/>
    <w:rsid w:val="59AF31E9"/>
    <w:rsid w:val="6FA50623"/>
    <w:rsid w:val="7F5815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200" w:line="276" w:lineRule="auto"/>
      <w:ind w:left="0" w:leftChars="0" w:right="0" w:rightChars="0" w:firstLineChars="200"/>
      <w:jc w:val="both"/>
    </w:pPr>
    <w:rPr>
      <w:rFonts w:hint="default" w:ascii="Times New Roman" w:hAnsi="Times New Roman" w:eastAsia="宋体" w:cs="Times New Roman"/>
      <w:color w:val="000000"/>
      <w:sz w:val="22"/>
      <w:szCs w:val="22"/>
      <w:lang w:val="en-US" w:eastAsia="en-US" w:bidi="ar-SA"/>
    </w:rPr>
  </w:style>
  <w:style w:type="paragraph" w:styleId="3">
    <w:name w:val="heading 1"/>
    <w:basedOn w:val="1"/>
    <w:next w:val="1"/>
    <w:link w:val="140"/>
    <w:qFormat/>
    <w:uiPriority w:val="9"/>
    <w:pPr>
      <w:keepNext/>
      <w:keepLines/>
      <w:numPr>
        <w:ilvl w:val="0"/>
        <w:numId w:val="1"/>
      </w:numPr>
      <w:spacing w:before="480" w:after="0" w:line="276" w:lineRule="auto"/>
      <w:ind w:left="0" w:leftChars="0" w:right="0" w:rightChars="0" w:firstLine="0" w:firstLineChars="0"/>
      <w:jc w:val="center"/>
      <w:outlineLvl w:val="0"/>
    </w:pPr>
    <w:rPr>
      <w:rFonts w:hint="default" w:ascii="Times New Roman" w:hAnsi="Times New Roman" w:eastAsia="黑体" w:cs="Times New Roman"/>
      <w:b/>
      <w:bCs/>
      <w:color w:val="000000" w:themeColor="text1"/>
      <w:sz w:val="32"/>
      <w:szCs w:val="32"/>
      <w14:textFill>
        <w14:solidFill>
          <w14:schemeClr w14:val="tx1"/>
        </w14:solidFill>
      </w14:textFill>
    </w:rPr>
  </w:style>
  <w:style w:type="paragraph" w:styleId="4">
    <w:name w:val="heading 2"/>
    <w:basedOn w:val="1"/>
    <w:next w:val="1"/>
    <w:link w:val="141"/>
    <w:unhideWhenUsed/>
    <w:qFormat/>
    <w:uiPriority w:val="9"/>
    <w:pPr>
      <w:keepNext/>
      <w:keepLines/>
      <w:numPr>
        <w:ilvl w:val="1"/>
        <w:numId w:val="1"/>
      </w:numPr>
      <w:spacing w:before="200" w:after="0" w:line="276" w:lineRule="auto"/>
      <w:ind w:left="0" w:leftChars="0" w:right="0" w:rightChars="0" w:firstLine="0" w:firstLineChars="0"/>
      <w:jc w:val="center"/>
      <w:outlineLvl w:val="1"/>
    </w:pPr>
    <w:rPr>
      <w:rFonts w:hint="default" w:ascii="Times New Roman" w:hAnsi="Times New Roman" w:eastAsia="黑体" w:cs="Times New Roman"/>
      <w:b/>
      <w:bCs/>
      <w:color w:val="000000" w:themeColor="text1"/>
      <w:sz w:val="28"/>
      <w:szCs w:val="28"/>
      <w14:textFill>
        <w14:solidFill>
          <w14:schemeClr w14:val="tx1"/>
        </w14:solidFill>
      </w14:textFill>
    </w:rPr>
  </w:style>
  <w:style w:type="paragraph" w:styleId="5">
    <w:name w:val="heading 3"/>
    <w:basedOn w:val="1"/>
    <w:next w:val="1"/>
    <w:link w:val="142"/>
    <w:unhideWhenUsed/>
    <w:qFormat/>
    <w:uiPriority w:val="9"/>
    <w:pPr>
      <w:keepNext/>
      <w:keepLines/>
      <w:spacing w:before="200" w:after="0" w:line="276" w:lineRule="auto"/>
      <w:ind w:left="0" w:leftChars="0" w:right="0" w:rightChars="0" w:firstLine="0" w:firstLineChars="0"/>
      <w:jc w:val="left"/>
      <w:outlineLvl w:val="2"/>
    </w:pPr>
    <w:rPr>
      <w:rFonts w:hint="default" w:ascii="Times New Roman" w:hAnsi="Times New Roman" w:eastAsia="黑体" w:cs="Times New Roman"/>
      <w:b/>
      <w:bCs/>
      <w:color w:val="000000" w:themeColor="text1"/>
      <w:sz w:val="24"/>
      <w:szCs w:val="24"/>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after="0" w:line="276" w:lineRule="auto"/>
      <w:ind w:left="0" w:leftChars="0" w:right="0" w:rightChars="0" w:firstLine="0" w:firstLineChars="0"/>
      <w:jc w:val="left"/>
      <w:outlineLvl w:val="3"/>
    </w:pPr>
    <w:rPr>
      <w:rFonts w:hint="default" w:ascii="Times New Roman" w:hAnsi="Times New Roman" w:eastAsia="黑体" w:cs="Times New Roman"/>
      <w:b/>
      <w:bCs/>
      <w:i/>
      <w:iCs/>
      <w:color w:val="000000" w:themeColor="text1"/>
      <w:sz w:val="24"/>
      <w:szCs w:val="24"/>
      <w14:textFill>
        <w14:solidFill>
          <w14:schemeClr w14:val="tx1"/>
        </w14:solidFill>
      </w14:textFill>
    </w:rPr>
  </w:style>
  <w:style w:type="paragraph" w:styleId="7">
    <w:name w:val="heading 5"/>
    <w:basedOn w:val="1"/>
    <w:next w:val="1"/>
    <w:link w:val="153"/>
    <w:semiHidden/>
    <w:unhideWhenUsed/>
    <w:qFormat/>
    <w:uiPriority w:val="9"/>
    <w:pPr>
      <w:keepNext/>
      <w:keepLines/>
      <w:spacing w:before="200" w:after="0" w:line="276" w:lineRule="auto"/>
      <w:ind w:left="0" w:leftChars="0" w:right="0" w:rightChars="0" w:firstLine="0" w:firstLineChars="0"/>
      <w:jc w:val="left"/>
      <w:outlineLvl w:val="4"/>
    </w:pPr>
    <w:rPr>
      <w:rFonts w:hint="default" w:ascii="Times New Roman" w:hAnsi="Times New Roman" w:eastAsia="黑体" w:cs="Times New Roman"/>
      <w:color w:val="000000"/>
      <w:sz w:val="24"/>
      <w:szCs w:val="24"/>
    </w:rPr>
  </w:style>
  <w:style w:type="paragraph" w:styleId="8">
    <w:name w:val="heading 6"/>
    <w:basedOn w:val="1"/>
    <w:next w:val="1"/>
    <w:link w:val="154"/>
    <w:semiHidden/>
    <w:unhideWhenUsed/>
    <w:qFormat/>
    <w:uiPriority w:val="9"/>
    <w:pPr>
      <w:keepNext/>
      <w:keepLines/>
      <w:spacing w:before="200" w:after="0" w:line="276" w:lineRule="auto"/>
      <w:ind w:left="0" w:leftChars="0" w:right="0" w:rightChars="0" w:firstLine="0" w:firstLineChars="0"/>
      <w:jc w:val="left"/>
      <w:outlineLvl w:val="5"/>
    </w:pPr>
    <w:rPr>
      <w:rFonts w:hint="default" w:ascii="Times New Roman" w:hAnsi="Times New Roman" w:eastAsia="黑体" w:cs="Times New Roman"/>
      <w:i/>
      <w:iCs/>
      <w:color w:val="000000"/>
      <w:sz w:val="24"/>
      <w:szCs w:val="24"/>
    </w:rPr>
  </w:style>
  <w:style w:type="paragraph" w:styleId="9">
    <w:name w:val="heading 7"/>
    <w:basedOn w:val="1"/>
    <w:next w:val="1"/>
    <w:link w:val="155"/>
    <w:semiHidden/>
    <w:unhideWhenUsed/>
    <w:qFormat/>
    <w:uiPriority w:val="9"/>
    <w:pPr>
      <w:keepNext/>
      <w:keepLines/>
      <w:spacing w:before="200" w:after="0" w:line="276" w:lineRule="auto"/>
      <w:ind w:left="0" w:leftChars="0" w:right="0" w:rightChars="0" w:firstLine="0" w:firstLineChars="0"/>
      <w:jc w:val="left"/>
      <w:outlineLvl w:val="6"/>
    </w:pPr>
    <w:rPr>
      <w:rFonts w:hint="default" w:ascii="Times New Roman" w:hAnsi="Times New Roman" w:eastAsia="黑体" w:cs="Times New Roman"/>
      <w:i/>
      <w:iCs/>
      <w:color w:val="404040" w:themeColor="text1" w:themeTint="BF"/>
      <w:sz w:val="24"/>
      <w:szCs w:val="24"/>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line="276" w:lineRule="auto"/>
      <w:ind w:left="0" w:leftChars="0" w:right="0" w:rightChars="0" w:firstLine="0" w:firstLineChars="0"/>
      <w:jc w:val="left"/>
      <w:outlineLvl w:val="7"/>
    </w:pPr>
    <w:rPr>
      <w:rFonts w:hint="default" w:ascii="Times New Roman" w:hAnsi="Times New Roman" w:eastAsia="黑体" w:cs="Times New Roman"/>
      <w:color w:val="4F81BD" w:themeColor="accent1"/>
      <w:sz w:val="24"/>
      <w:szCs w:val="24"/>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pPr>
      <w:spacing w:before="0" w:after="0" w:line="400" w:lineRule="exact"/>
      <w:ind w:left="0" w:firstLine="0" w:right="0" w:leftChars="0" w:firstLineChars="0" w:rightChars="0"/>
      <w:jc w:val="both"/>
    </w:pPr>
    <w:rPr>
      <w:rFonts w:ascii="Times New Roman" w:hAnsi="Times New Roman" w:eastAsia="宋体" w:cs="Times New Roman" w:hint="default"/>
      <w:b w:val="0"/>
      <w:i w:val="0"/>
      <w:sz w:val="24"/>
    </w:r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spacing w:before="0" w:after="0" w:line="400" w:lineRule="exact"/>
      <w:ind w:left="0" w:leftChars="0" w:firstLine="0" w:right="0" w:firstLineChars="0" w:rightChars="0"/>
      <w:jc w:val="both"/>
    </w:pPr>
    <w:rPr>
      <w:rFonts w:ascii="Times New Roman" w:hAnsi="Times New Roman" w:eastAsia="宋体" w:cs="Times New Roman" w:hint="default"/>
      <w:b w:val="0"/>
      <w:i w:val="0"/>
      <w:sz w:val="24"/>
    </w:r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41">
    <w:name w:val="Heading 2 Char"/>
    <w:basedOn w:val="134"/>
    <w:link w:val="4"/>
    <w:qFormat/>
    <w:uiPriority w:val="9"/>
    <w:rPr>
      <w:rFonts w:asciiTheme="majorAscii" w:hAnsiTheme="majorAscii" w:eastAsiaTheme="majorEastAsia" w:cstheme="majorBidi"/>
      <w:b/>
      <w:bCs/>
      <w:color w:val="000000" w:themeColor="text1"/>
      <w:sz w:val="84"/>
      <w:szCs w:val="26"/>
      <w14:textFill>
        <w14:solidFill>
          <w14:schemeClr w14:val="tx1"/>
        </w14:solidFill>
      </w14:textFill>
    </w:rPr>
  </w:style>
  <w:style w:type="character" w:customStyle="1" w:styleId="142">
    <w:name w:val="Heading 3 Char"/>
    <w:basedOn w:val="134"/>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Ascii" w:hAnsiTheme="majorAscii" w:eastAsiaTheme="majorEastAsia" w:cstheme="majorBidi"/>
      <w:b/>
      <w:bCs/>
      <w:i/>
      <w:iCs/>
      <w:color w:val="000000" w:themeColor="text1"/>
      <w14:textFill>
        <w14:solidFill>
          <w14:schemeClr w14:val="tx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1"/>
    <w:next w:val="1"/>
    <w:semiHidden/>
    <w:unhideWhenUsed/>
    <w:qFormat/>
    <w:uiPriority w:val="39"/>
    <w:pPr>
      <w:spacing w:before="480" w:after="200" w:line="276" w:lineRule="auto"/>
      <w:ind w:left="0" w:leftChars="0" w:right="0" w:rightChars="0" w:firstLineChars="0" w:firstLine="0"/>
      <w:jc w:val="center"/>
      <w:outlineLvl w:val="9"/>
    </w:pPr>
    <w:rPr>
      <w:rFonts w:hint="default" w:ascii="Times New Roman" w:hAnsi="Times New Roman" w:eastAsia="黑体" w:cs="Times New Roman"/>
      <w:b/>
      <w:i w:val="0"/>
      <w:sz w:val="22"/>
    </w:rPr>
  </w:style>
  <w:style w:type="paragraph" w:customStyle="1" w:styleId="166">
    <w:name w:val="code_block"/>
    <w:uiPriority w:val="0"/>
    <w:pPr>
      <w:spacing w:before="0" w:after="200" w:line="276" w:lineRule="auto"/>
      <w:ind w:left="0" w:leftChars="0" w:right="0" w:rightChars="0" w:firstLine="0" w:firstLineChars="0"/>
      <w:jc w:val="left"/>
    </w:pPr>
    <w:rPr>
      <w:rFonts w:hint="default" w:ascii="Consolas" w:hAnsi="Consolas" w:eastAsia="Consolas" w:cs="Consolas"/>
      <w:color w:val="000000"/>
      <w:sz w:val="22"/>
      <w:szCs w:val="22"/>
    </w:rPr>
  </w:style>
  <w:style w:type="paragraph" w:customStyle="1" w:styleId="167">
    <w:name w:val="figure_caption"/>
    <w:uiPriority w:val="0"/>
    <w:pPr>
      <w:spacing w:before="120" w:after="200" w:line="240" w:lineRule="auto"/>
      <w:ind w:left="0" w:leftChars="0" w:right="0" w:rightChars="0" w:firstLine="0" w:firstLineChars="0"/>
      <w:jc w:val="center"/>
    </w:pPr>
    <w:rPr>
      <w:rFonts w:hint="default" w:ascii="Times New Roman" w:hAnsi="Times New Roman" w:eastAsia="宋体" w:cs="Times New Roman"/>
      <w:b/>
      <w:bCs/>
      <w:color w:val="000000"/>
      <w:sz w:val="18"/>
      <w:szCs w:val="18"/>
    </w:rPr>
  </w:style>
  <w:style w:type="paragraph" w:customStyle="1" w:styleId="168">
    <w:name w:val="table_caption"/>
    <w:uiPriority w:val="0"/>
    <w:pPr>
      <w:spacing w:before="120" w:after="200" w:line="240" w:lineRule="auto"/>
      <w:ind w:left="0" w:leftChars="0" w:right="0" w:rightChars="0" w:firstLine="0" w:firstLineChars="0"/>
      <w:jc w:val="center"/>
    </w:pPr>
    <w:rPr>
      <w:rFonts w:hint="default" w:ascii="Times New Roman" w:hAnsi="Times New Roman" w:eastAsia="宋体" w:cs="Times New Roman"/>
      <w:b/>
      <w:bCs/>
      <w:color w:val="000000"/>
      <w:sz w:val="18"/>
      <w:szCs w:val="18"/>
    </w:rPr>
  </w:style>
  <w:style w:type="paragraph" w:customStyle="1" w:styleId="169">
    <w:name w:val="TOC 1"/>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0">
    <w:name w:val="TOC 2"/>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1">
    <w:name w:val="TOC 3"/>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2">
    <w:name w:val="Heading 1 Unnumbered"/>
    <w:basedOn w:val="1"/>
    <w:uiPriority w:val="0"/>
    <w:pPr>
      <w:ind w:left="0" w:leftChars="0" w:right="0" w:rightChars="0" w:firstLine="0" w:firstLineChars="0"/>
      <w:outlineLvl w:val="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3814</Words>
  <Characters>7358</Characters>
  <Lines>0</Lines>
  <Paragraphs>0</Paragraphs>
  <TotalTime>0</TotalTime>
  <ScaleCrop>false</ScaleCrop>
  <LinksUpToDate>false</LinksUpToDate>
  <CharactersWithSpaces>7952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王云雀</cp:lastModifiedBy>
  <dcterms:modified xsi:type="dcterms:W3CDTF">2026-03-19T09:00:11Z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eyJoZGlkIjoiNjEzNzA1NjA3ZGRkNjVhNjAxY2QzNTYwMTY1ZjhkYzMiLCJ1c2VySWQiOiIxNDQ4MTk2NCJ9</vt:lpwstr>
  </property>
  <property fmtid="{D5CDD505-2E9C-101B-9397-08002B2CF9AE}" pid="3" name="KSOProductBuildVer">
    <vt:lpwstr>2052-12.1.0.25222</vt:lpwstr>
  </property>
  <property fmtid="{D5CDD505-2E9C-101B-9397-08002B2CF9AE}" pid="4" name="ICV">
    <vt:lpwstr>00E6BEA7B0424DC7B330CB65CDCE41F0_12</vt:lpwstr>
  </property>
</Properties>
</file>