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9666F">
      <w:pPr>
        <w:spacing w:before="0" w:after="0" w:line="400" w:lineRule="exact"/>
        <w:ind w:firstLine="480"/>
        <w:jc w:val="both"/>
        <w:rPr>
          <w:rFonts w:hint="eastAsia"/>
        </w:rPr>
      </w:pPr>
      <w:r>
        <w:rPr>
          <w:rFonts w:hint="eastAsia" w:ascii="Times New Roman" w:hAnsi="Times New Roman" w:eastAsia="宋体"/>
          <w:b w:val="0"/>
          <w:i w:val="0"/>
          <w:sz w:val="24"/>
        </w:rPr>
        <w:t>中图分类号：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学校代码：</w:t>
      </w:r>
      <w:r>
        <w:rPr>
          <w:rFonts w:hint="eastAsia" w:ascii="Times New Roman" w:hAnsi="Times New Roman" w:eastAsia="宋体"/>
          <w:b w:val="0"/>
          <w:i w:val="0"/>
          <w:sz w:val="24"/>
        </w:rPr>
        <w:tab/>
      </w:r>
      <w:r>
        <w:rPr>
          <w:rFonts w:hint="eastAsia" w:ascii="Times New Roman" w:hAnsi="Times New Roman" w:eastAsia="宋体"/>
          <w:b w:val="0"/>
          <w:i w:val="0"/>
          <w:sz w:val="24"/>
        </w:rPr>
        <w:t>10055</w:t>
      </w:r>
    </w:p>
    <w:p w14:paraId="7167F5F4">
      <w:pPr>
        <w:spacing w:before="0" w:after="0" w:line="400" w:lineRule="exact"/>
        <w:ind w:firstLine="480"/>
        <w:jc w:val="both"/>
        <w:rPr>
          <w:rFonts w:hint="eastAsia"/>
        </w:rPr>
      </w:pPr>
      <w:r>
        <w:rPr>
          <w:rFonts w:hint="eastAsia" w:ascii="Times New Roman" w:hAnsi="Times New Roman" w:eastAsia="宋体"/>
          <w:b w:val="0"/>
          <w:i w:val="0"/>
          <w:sz w:val="24"/>
        </w:rPr>
        <w:t>UDC：</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密级：</w:t>
      </w:r>
      <w:r>
        <w:rPr>
          <w:rFonts w:hint="eastAsia" w:ascii="Times New Roman" w:hAnsi="Times New Roman" w:eastAsia="宋体"/>
          <w:b w:val="0"/>
          <w:i w:val="0"/>
          <w:sz w:val="24"/>
        </w:rPr>
        <w:tab/>
      </w:r>
      <w:r>
        <w:rPr>
          <w:rFonts w:hint="eastAsia" w:ascii="Times New Roman" w:hAnsi="Times New Roman" w:eastAsia="宋体"/>
          <w:b w:val="0"/>
          <w:i w:val="0"/>
          <w:sz w:val="24"/>
        </w:rPr>
        <w:t>公开</w:t>
      </w:r>
    </w:p>
    <w:p w14:paraId="14468FCA">
      <w:pPr>
        <w:rPr>
          <w:rFonts w:hint="eastAsia"/>
        </w:rPr>
      </w:pPr>
    </w:p>
    <w:p w14:paraId="2C539C2F">
      <w:pPr>
        <w:rPr>
          <w:rFonts w:hint="eastAsia"/>
        </w:rPr>
      </w:pPr>
    </w:p>
    <w:p w14:paraId="37255010">
      <w:pPr>
        <w:rPr>
          <w:rFonts w:hint="eastAsia"/>
        </w:rPr>
      </w:pPr>
      <w:r>
        <w:rPr>
          <w:rFonts w:hint="eastAsia"/>
        </w:rPr>
        <w:t xml:space="preserve"> </w:t>
      </w:r>
    </w:p>
    <w:p w14:paraId="6FF68C20">
      <w:pPr>
        <w:spacing w:before="0" w:after="0" w:line="400" w:lineRule="exact"/>
        <w:ind w:firstLine="480"/>
        <w:jc w:val="both"/>
        <w:rPr>
          <w:rFonts w:hint="eastAsia"/>
        </w:rPr>
      </w:pPr>
      <w:r>
        <w:rPr>
          <w:rFonts w:hint="eastAsia" w:ascii="Times New Roman" w:hAnsi="Times New Roman" w:eastAsia="宋体"/>
          <w:b w:val="0"/>
          <w:i w:val="0"/>
          <w:sz w:val="24"/>
        </w:rPr>
        <w:t>硕 士 学 位 论 文</w:t>
      </w:r>
    </w:p>
    <w:p w14:paraId="5360CE01">
      <w:pPr>
        <w:rPr>
          <w:rFonts w:hint="eastAsia"/>
        </w:rPr>
      </w:pPr>
    </w:p>
    <w:p w14:paraId="0F329A1C">
      <w:pPr>
        <w:spacing w:before="0" w:after="0" w:line="400" w:lineRule="exact"/>
        <w:ind w:firstLine="480"/>
        <w:jc w:val="both"/>
        <w:rPr>
          <w:rFonts w:hint="eastAsia"/>
        </w:rPr>
      </w:pPr>
      <w:r>
        <w:rPr>
          <w:rFonts w:hint="eastAsia" w:ascii="Times New Roman" w:hAnsi="Times New Roman" w:eastAsia="宋体"/>
          <w:b w:val="0"/>
          <w:i w:val="0"/>
          <w:sz w:val="24"/>
        </w:rPr>
        <w:t>碳量子点用于催化产过氧化氢和降解水中污染物的研究</w:t>
      </w:r>
    </w:p>
    <w:p w14:paraId="782C0CA8">
      <w:pPr>
        <w:spacing w:before="0" w:after="0" w:line="400" w:lineRule="exact"/>
        <w:ind w:firstLine="480"/>
        <w:jc w:val="both"/>
        <w:rPr>
          <w:rFonts w:hint="eastAsia"/>
        </w:rPr>
      </w:pPr>
      <w:r>
        <w:rPr>
          <w:rFonts w:hint="eastAsia" w:ascii="Times New Roman" w:hAnsi="Times New Roman" w:eastAsia="宋体"/>
          <w:b w:val="0"/>
          <w:i w:val="0"/>
          <w:sz w:val="24"/>
        </w:rPr>
        <w:t>Research on Carbon Quantum Dots for Catalytic Production of Hydrogen Peroxide and Degradation of Pollutants in Water</w:t>
      </w:r>
    </w:p>
    <w:p w14:paraId="75CA2998">
      <w:pPr>
        <w:rPr>
          <w:rFonts w:hint="eastAsia"/>
        </w:rPr>
      </w:pPr>
    </w:p>
    <w:p w14:paraId="58886165">
      <w:pPr>
        <w:spacing w:before="0" w:after="0" w:line="400" w:lineRule="exact"/>
        <w:ind w:firstLine="480"/>
        <w:jc w:val="both"/>
        <w:rPr>
          <w:rFonts w:hint="eastAsia"/>
        </w:rPr>
      </w:pPr>
      <w:r>
        <w:rPr>
          <w:rFonts w:hint="eastAsia" w:ascii="Times New Roman" w:hAnsi="Times New Roman" w:eastAsia="宋体"/>
          <w:b w:val="0"/>
          <w:i w:val="0"/>
          <w:sz w:val="24"/>
        </w:rPr>
        <w:t>论文作者  张熙国    指导教师  王薇 教授</w:t>
      </w:r>
    </w:p>
    <w:p w14:paraId="51DE7173">
      <w:pPr>
        <w:spacing w:before="0" w:after="0" w:line="400" w:lineRule="exact"/>
        <w:ind w:firstLine="480"/>
        <w:jc w:val="both"/>
        <w:rPr>
          <w:rFonts w:hint="eastAsia"/>
        </w:rPr>
      </w:pPr>
      <w:r>
        <w:rPr>
          <w:rFonts w:hint="eastAsia" w:ascii="Times New Roman" w:hAnsi="Times New Roman" w:eastAsia="宋体"/>
          <w:b w:val="0"/>
          <w:i w:val="0"/>
          <w:sz w:val="24"/>
        </w:rPr>
        <w:t xml:space="preserve">申请学位  工学硕士    培养单位  环境科学与工程学院 </w:t>
      </w:r>
    </w:p>
    <w:p w14:paraId="5DB116B0">
      <w:pPr>
        <w:spacing w:before="0" w:after="0" w:line="400" w:lineRule="exact"/>
        <w:ind w:firstLine="480"/>
        <w:jc w:val="both"/>
        <w:rPr>
          <w:rFonts w:hint="eastAsia"/>
        </w:rPr>
      </w:pPr>
      <w:r>
        <w:rPr>
          <w:rFonts w:hint="eastAsia" w:ascii="Times New Roman" w:hAnsi="Times New Roman" w:eastAsia="宋体"/>
          <w:b w:val="0"/>
          <w:i w:val="0"/>
          <w:sz w:val="24"/>
        </w:rPr>
        <w:t xml:space="preserve">学科专业  环境工程    研究方向    环境纳米催化  </w:t>
      </w:r>
    </w:p>
    <w:p w14:paraId="0BAE6E2B">
      <w:pPr>
        <w:spacing w:before="0" w:after="0" w:line="400" w:lineRule="exact"/>
        <w:ind w:firstLine="480"/>
        <w:jc w:val="both"/>
        <w:rPr>
          <w:rFonts w:hint="eastAsia"/>
        </w:rPr>
      </w:pPr>
      <w:r>
        <w:rPr>
          <w:rFonts w:hint="eastAsia" w:ascii="Times New Roman" w:hAnsi="Times New Roman" w:eastAsia="宋体"/>
          <w:b w:val="0"/>
          <w:i w:val="0"/>
          <w:sz w:val="24"/>
        </w:rPr>
        <w:t>答辩委员会主席  XXXXXX XX   评 阅 人  XXXXXXXXXXXX</w:t>
      </w:r>
    </w:p>
    <w:p w14:paraId="48622791">
      <w:pPr>
        <w:rPr>
          <w:rFonts w:hint="eastAsia"/>
        </w:rPr>
      </w:pPr>
    </w:p>
    <w:p w14:paraId="320BBBEA">
      <w:pPr>
        <w:rPr>
          <w:rFonts w:hint="eastAsia"/>
        </w:rPr>
      </w:pPr>
    </w:p>
    <w:p w14:paraId="380DD457">
      <w:pPr>
        <w:spacing w:before="0" w:after="0" w:line="400" w:lineRule="exact"/>
        <w:ind w:firstLine="480"/>
        <w:jc w:val="both"/>
        <w:rPr>
          <w:rFonts w:hint="eastAsia"/>
        </w:rPr>
      </w:pPr>
      <w:r>
        <w:rPr>
          <w:rFonts w:hint="eastAsia" w:ascii="Times New Roman" w:hAnsi="Times New Roman" w:eastAsia="宋体"/>
          <w:b w:val="0"/>
          <w:i w:val="0"/>
          <w:sz w:val="24"/>
        </w:rPr>
        <w:t>南开大学研究生院</w:t>
      </w:r>
    </w:p>
    <w:p w14:paraId="71D9C830">
      <w:pPr>
        <w:spacing w:before="0" w:after="0" w:line="400" w:lineRule="exact"/>
        <w:ind w:firstLine="480"/>
        <w:jc w:val="both"/>
        <w:rPr>
          <w:rFonts w:hint="eastAsia"/>
        </w:rPr>
      </w:pPr>
      <w:r>
        <w:rPr>
          <w:rFonts w:hint="eastAsia" w:ascii="Times New Roman" w:hAnsi="Times New Roman" w:eastAsia="宋体"/>
          <w:b w:val="0"/>
          <w:i w:val="0"/>
          <w:sz w:val="24"/>
        </w:rPr>
        <w:t>二〇二六年五月</w:t>
      </w:r>
    </w:p>
    <w:p w14:paraId="1574E1D3">
      <w:pPr>
        <w:rPr>
          <w:rFonts w:hint="eastAsia"/>
        </w:rPr>
      </w:pPr>
    </w:p>
    <w:p w14:paraId="4F77561E">
      <w:pPr>
        <w:spacing w:before="0" w:after="0" w:line="400" w:lineRule="exact"/>
        <w:ind w:firstLine="480"/>
        <w:jc w:val="both"/>
        <w:rPr>
          <w:rFonts w:hint="eastAsia"/>
        </w:rPr>
      </w:pPr>
      <w:r>
        <w:rPr>
          <w:rFonts w:hint="eastAsia" w:ascii="Times New Roman" w:hAnsi="Times New Roman" w:eastAsia="宋体"/>
          <w:b w:val="0"/>
          <w:i w:val="0"/>
          <w:sz w:val="24"/>
        </w:rPr>
        <w:t>南开大学学位论文原创性声明</w:t>
      </w:r>
    </w:p>
    <w:p w14:paraId="359EE9CD">
      <w:pPr>
        <w:spacing w:before="0" w:after="0" w:line="400" w:lineRule="exact"/>
        <w:ind w:firstLine="480"/>
        <w:jc w:val="both"/>
        <w:rPr>
          <w:rFonts w:hint="eastAsia"/>
        </w:rPr>
      </w:pPr>
      <w:r>
        <w:rPr>
          <w:rFonts w:hint="eastAsia" w:ascii="Times New Roman" w:hAnsi="Times New Roman" w:eastAsia="宋体"/>
          <w:b w:val="0"/>
          <w:i w:val="0"/>
          <w:sz w:val="24"/>
        </w:rPr>
        <w:t>本人郑重声明：所呈交的学位论文，是本人在导师指导下进行研究工作所取得的研究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3A65F5C1">
      <w:pPr>
        <w:spacing w:before="0" w:after="0" w:line="400" w:lineRule="exact"/>
        <w:ind w:firstLine="480"/>
        <w:jc w:val="both"/>
        <w:rPr>
          <w:rFonts w:hint="eastAsia"/>
        </w:rPr>
      </w:pPr>
      <w:r>
        <w:rPr>
          <w:rFonts w:hint="eastAsia" w:ascii="Times New Roman" w:hAnsi="Times New Roman" w:eastAsia="宋体"/>
          <w:b w:val="0"/>
          <w:i w:val="0"/>
          <w:sz w:val="24"/>
        </w:rPr>
        <w:t>学位论文作者签名：   年 月 日</w:t>
      </w:r>
    </w:p>
    <w:p w14:paraId="24BC9DC9">
      <w:pPr>
        <w:rPr>
          <w:rFonts w:hint="eastAsia"/>
        </w:rPr>
      </w:pPr>
      <w:r>
        <w:rPr>
          <w:rFonts w:hint="eastAsia"/>
        </w:rPr>
        <w:t xml:space="preserve"> </w:t>
      </w:r>
    </w:p>
    <w:p w14:paraId="65D1F523">
      <w:pPr>
        <w:spacing w:before="0" w:after="0" w:line="400" w:lineRule="exact"/>
        <w:ind w:firstLine="480"/>
        <w:jc w:val="both"/>
        <w:rPr>
          <w:rFonts w:hint="eastAsia"/>
        </w:rPr>
      </w:pPr>
      <w:r>
        <w:rPr>
          <w:rFonts w:hint="eastAsia" w:ascii="Times New Roman" w:hAnsi="Times New Roman" w:eastAsia="宋体"/>
          <w:b w:val="0"/>
          <w:i w:val="0"/>
          <w:sz w:val="24"/>
        </w:rPr>
        <w:t>非公开学位论文标注说明</w:t>
      </w:r>
    </w:p>
    <w:p w14:paraId="2DE189CB">
      <w:pPr>
        <w:spacing w:before="0" w:after="0" w:line="400" w:lineRule="exact"/>
        <w:ind w:firstLine="480"/>
        <w:jc w:val="both"/>
        <w:rPr>
          <w:rFonts w:hint="eastAsia"/>
        </w:rPr>
      </w:pPr>
      <w:r>
        <w:rPr>
          <w:rFonts w:hint="eastAsia" w:ascii="Times New Roman" w:hAnsi="Times New Roman" w:eastAsia="宋体"/>
          <w:b w:val="0"/>
          <w:i w:val="0"/>
          <w:sz w:val="24"/>
        </w:rPr>
        <w:t>（本页表中填写内容须打印）</w:t>
      </w:r>
    </w:p>
    <w:p w14:paraId="0C01F770">
      <w:pPr>
        <w:spacing w:before="0" w:after="0" w:line="400" w:lineRule="exact"/>
        <w:ind w:firstLine="480"/>
        <w:jc w:val="both"/>
        <w:rPr>
          <w:rFonts w:hint="eastAsia"/>
        </w:rPr>
      </w:pPr>
      <w:r>
        <w:rPr>
          <w:rFonts w:hint="eastAsia" w:ascii="Times New Roman" w:hAnsi="Times New Roman" w:eastAsia="宋体"/>
          <w:b w:val="0"/>
          <w:i w:val="0"/>
          <w:sz w:val="24"/>
        </w:rPr>
        <w:t>根据南开大学有关规定，非公开学位论文须经指导教师同意、作者本人申请和相关部门批准方能标注。未经批准的均为公开学位论文，公开学位论文本说明为空白。</w:t>
      </w:r>
    </w:p>
    <w:p w14:paraId="56B8E3ED">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p>
    <w:p w14:paraId="5F597161">
      <w:pPr>
        <w:spacing w:before="0" w:after="0" w:line="400" w:lineRule="exact"/>
        <w:ind w:firstLine="480"/>
        <w:jc w:val="both"/>
        <w:rPr>
          <w:rFonts w:hint="eastAsia"/>
        </w:rPr>
      </w:pPr>
      <w:r>
        <w:rPr>
          <w:rFonts w:hint="eastAsia" w:ascii="Times New Roman" w:hAnsi="Times New Roman" w:eastAsia="宋体"/>
          <w:b w:val="0"/>
          <w:i w:val="0"/>
          <w:sz w:val="24"/>
        </w:rPr>
        <w:t>申请密级</w:t>
      </w:r>
      <w:r>
        <w:rPr>
          <w:rFonts w:hint="eastAsia" w:ascii="Times New Roman" w:hAnsi="Times New Roman" w:eastAsia="宋体"/>
          <w:b w:val="0"/>
          <w:i w:val="0"/>
          <w:sz w:val="24"/>
        </w:rPr>
        <w:tab/>
      </w:r>
      <w:r>
        <w:rPr>
          <w:rFonts w:hint="eastAsia" w:ascii="Times New Roman" w:hAnsi="Times New Roman" w:eastAsia="宋体"/>
          <w:b w:val="0"/>
          <w:i w:val="0"/>
          <w:sz w:val="24"/>
        </w:rPr>
        <w:t>□限制(≤2年) 　　 □秘密(≤10年) 　 　□机密(≤20年)</w:t>
      </w:r>
    </w:p>
    <w:p w14:paraId="637F4F2B">
      <w:pPr>
        <w:spacing w:before="0" w:after="0" w:line="400" w:lineRule="exact"/>
        <w:ind w:firstLine="480"/>
        <w:jc w:val="both"/>
        <w:rPr>
          <w:rFonts w:hint="eastAsia"/>
        </w:rPr>
      </w:pPr>
      <w:r>
        <w:rPr>
          <w:rFonts w:hint="eastAsia" w:ascii="Times New Roman" w:hAnsi="Times New Roman" w:eastAsia="宋体"/>
          <w:b w:val="0"/>
          <w:i w:val="0"/>
          <w:sz w:val="24"/>
        </w:rPr>
        <w:t>保密期限</w:t>
      </w:r>
      <w:r>
        <w:rPr>
          <w:rFonts w:hint="eastAsia" w:ascii="Times New Roman" w:hAnsi="Times New Roman" w:eastAsia="宋体"/>
          <w:b w:val="0"/>
          <w:i w:val="0"/>
          <w:sz w:val="24"/>
        </w:rPr>
        <w:tab/>
      </w:r>
      <w:r>
        <w:rPr>
          <w:rFonts w:hint="eastAsia" w:ascii="Times New Roman" w:hAnsi="Times New Roman" w:eastAsia="宋体"/>
          <w:b w:val="0"/>
          <w:i w:val="0"/>
          <w:sz w:val="24"/>
        </w:rPr>
        <w:t>20      年    月    日至20      年     月     日</w:t>
      </w:r>
    </w:p>
    <w:p w14:paraId="55630938">
      <w:pPr>
        <w:spacing w:before="0" w:after="0" w:line="400" w:lineRule="exact"/>
        <w:ind w:firstLine="480"/>
        <w:jc w:val="both"/>
        <w:rPr>
          <w:rFonts w:hint="eastAsia"/>
        </w:rPr>
      </w:pPr>
      <w:r>
        <w:rPr>
          <w:rFonts w:hint="eastAsia" w:ascii="Times New Roman" w:hAnsi="Times New Roman" w:eastAsia="宋体"/>
          <w:b w:val="0"/>
          <w:i w:val="0"/>
          <w:sz w:val="24"/>
        </w:rPr>
        <w:t>审批表编号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批准日期</w:t>
      </w:r>
      <w:r>
        <w:rPr>
          <w:rFonts w:hint="eastAsia" w:ascii="Times New Roman" w:hAnsi="Times New Roman" w:eastAsia="宋体"/>
          <w:b w:val="0"/>
          <w:i w:val="0"/>
          <w:sz w:val="24"/>
        </w:rPr>
        <w:tab/>
      </w:r>
      <w:r>
        <w:rPr>
          <w:rFonts w:hint="eastAsia" w:ascii="Times New Roman" w:hAnsi="Times New Roman" w:eastAsia="宋体"/>
          <w:b w:val="0"/>
          <w:i w:val="0"/>
          <w:sz w:val="24"/>
        </w:rPr>
        <w:t>20    年    月    日</w:t>
      </w:r>
    </w:p>
    <w:p w14:paraId="6E8D9B64">
      <w:pPr>
        <w:spacing w:before="0" w:after="0" w:line="400" w:lineRule="exact"/>
        <w:ind w:firstLine="480"/>
        <w:jc w:val="both"/>
        <w:rPr>
          <w:rFonts w:hint="eastAsia"/>
        </w:rPr>
      </w:pPr>
      <w:r>
        <w:rPr>
          <w:rFonts w:hint="eastAsia" w:ascii="Times New Roman" w:hAnsi="Times New Roman" w:eastAsia="宋体"/>
          <w:b w:val="0"/>
          <w:i w:val="0"/>
          <w:sz w:val="24"/>
        </w:rPr>
        <w:t>南开大学学位评定委员会办公室盖章（有效）</w:t>
      </w:r>
    </w:p>
    <w:p w14:paraId="3B5BE059">
      <w:pPr>
        <w:rPr>
          <w:rFonts w:hint="eastAsia"/>
        </w:rPr>
      </w:pPr>
    </w:p>
    <w:p w14:paraId="23161A30">
      <w:pPr>
        <w:spacing w:before="0" w:after="0" w:line="400" w:lineRule="exact"/>
        <w:ind w:firstLine="480"/>
        <w:jc w:val="both"/>
        <w:rPr>
          <w:rFonts w:hint="eastAsia"/>
        </w:rPr>
      </w:pPr>
      <w:r>
        <w:rPr>
          <w:rFonts w:hint="eastAsia" w:ascii="Times New Roman" w:hAnsi="Times New Roman" w:eastAsia="宋体"/>
          <w:b w:val="0"/>
          <w:i w:val="0"/>
          <w:sz w:val="24"/>
        </w:rPr>
        <w:t>注：限制★2年（可少于2年）；秘密★10年（可少于10年）；机密★20年（可少于20年）</w:t>
      </w:r>
    </w:p>
    <w:p w14:paraId="50136E22">
      <w:pPr>
        <w:rPr>
          <w:rFonts w:hint="eastAsia"/>
        </w:rPr>
      </w:pPr>
    </w:p>
    <w:p w14:paraId="40630E6B">
      <w:pPr>
        <w:spacing w:before="0" w:after="0" w:line="400" w:lineRule="exact"/>
        <w:ind w:firstLine="480"/>
        <w:jc w:val="both"/>
        <w:rPr>
          <w:rFonts w:hint="eastAsia"/>
        </w:rPr>
      </w:pPr>
      <w:r>
        <w:rPr>
          <w:rFonts w:hint="eastAsia" w:ascii="Times New Roman" w:hAnsi="Times New Roman" w:eastAsia="宋体"/>
          <w:b w:val="0"/>
          <w:i w:val="0"/>
          <w:sz w:val="24"/>
        </w:rPr>
        <w:t>南开大学学位论文使用授权书</w:t>
      </w:r>
    </w:p>
    <w:p w14:paraId="0985E59B">
      <w:pPr>
        <w:spacing w:before="0" w:after="0" w:line="400" w:lineRule="exact"/>
        <w:ind w:firstLine="480"/>
        <w:jc w:val="both"/>
        <w:rPr>
          <w:rFonts w:hint="eastAsia"/>
        </w:rPr>
      </w:pPr>
      <w:r>
        <w:rPr>
          <w:rFonts w:hint="eastAsia" w:ascii="Times New Roman" w:hAnsi="Times New Roman" w:eastAsia="宋体"/>
          <w:b w:val="0"/>
          <w:i w:val="0"/>
          <w:sz w:val="24"/>
        </w:rPr>
        <w:t>本人完全了解《南开大学关于研究生学位论文收藏和利用管理办法》关于南开大学（简称“学校”）研究生学位论文收藏和利用的管理规定，同意向南开大学提交本人的学位论文电子版及相应的纸质本。</w:t>
      </w:r>
    </w:p>
    <w:p w14:paraId="6AE1ACBA">
      <w:pPr>
        <w:spacing w:before="0" w:after="0" w:line="400" w:lineRule="exact"/>
        <w:ind w:firstLine="480"/>
        <w:jc w:val="both"/>
        <w:rPr>
          <w:rFonts w:hint="eastAsia"/>
        </w:rPr>
      </w:pPr>
      <w:r>
        <w:rPr>
          <w:rFonts w:hint="eastAsia" w:ascii="Times New Roman" w:hAnsi="Times New Roman" w:eastAsia="宋体"/>
          <w:b w:val="0"/>
          <w:i w:val="0"/>
          <w:sz w:val="24"/>
        </w:rPr>
        <w:t>本人了解南开大学拥有在《中华人民共和国著作权法》规定范围内的学位论文使用权，同意在以下几方面向学校授权。即：</w:t>
      </w:r>
    </w:p>
    <w:p w14:paraId="535A15A0">
      <w:pPr>
        <w:spacing w:before="0" w:after="0" w:line="400" w:lineRule="exact"/>
        <w:ind w:firstLine="480"/>
        <w:jc w:val="both"/>
        <w:rPr>
          <w:rFonts w:hint="eastAsia"/>
        </w:rPr>
      </w:pPr>
      <w:r>
        <w:rPr>
          <w:rFonts w:hint="eastAsia" w:ascii="Times New Roman" w:hAnsi="Times New Roman" w:eastAsia="宋体"/>
          <w:b w:val="0"/>
          <w:i w:val="0"/>
          <w:sz w:val="24"/>
        </w:rPr>
        <w:t>1.学校将学位论文编入《南开大学博硕士学位论文全文数据库》，并作为资料在学校图书馆等场所提供阅览，在校园网上提供论文目录检索、文摘及前16页的浏览等信息服务；</w:t>
      </w:r>
    </w:p>
    <w:p w14:paraId="52AA521A">
      <w:pPr>
        <w:spacing w:before="0" w:after="0" w:line="400" w:lineRule="exact"/>
        <w:ind w:firstLine="480"/>
        <w:jc w:val="both"/>
        <w:rPr>
          <w:rFonts w:hint="eastAsia"/>
        </w:rPr>
      </w:pPr>
      <w:r>
        <w:rPr>
          <w:rFonts w:hint="eastAsia" w:ascii="Times New Roman" w:hAnsi="Times New Roman" w:eastAsia="宋体"/>
          <w:b w:val="0"/>
          <w:i w:val="0"/>
          <w:sz w:val="24"/>
        </w:rPr>
        <w:t>2.学校可以采用影印、缩印或其他复制手段保存学位论文；学校根据规定向教育部指定的收藏和存档单位提交学位论文；</w:t>
      </w:r>
    </w:p>
    <w:p w14:paraId="4C0DEE78">
      <w:pPr>
        <w:spacing w:before="0" w:after="0" w:line="400" w:lineRule="exact"/>
        <w:ind w:firstLine="480"/>
        <w:jc w:val="both"/>
        <w:rPr>
          <w:rFonts w:hint="eastAsia"/>
        </w:rPr>
      </w:pPr>
      <w:r>
        <w:rPr>
          <w:rFonts w:hint="eastAsia" w:ascii="Times New Roman" w:hAnsi="Times New Roman" w:eastAsia="宋体"/>
          <w:b w:val="0"/>
          <w:i w:val="0"/>
          <w:sz w:val="24"/>
        </w:rPr>
        <w:t>3.非公开学位论文在解密后的使用权同公开论文。</w:t>
      </w:r>
    </w:p>
    <w:p w14:paraId="15A77873">
      <w:pPr>
        <w:spacing w:before="0" w:after="0" w:line="400" w:lineRule="exact"/>
        <w:ind w:firstLine="480"/>
        <w:jc w:val="both"/>
        <w:rPr>
          <w:rFonts w:hint="eastAsia"/>
        </w:rPr>
      </w:pPr>
      <w:r>
        <w:rPr>
          <w:rFonts w:hint="eastAsia" w:ascii="Times New Roman" w:hAnsi="Times New Roman" w:eastAsia="宋体"/>
          <w:b w:val="0"/>
          <w:i w:val="0"/>
          <w:sz w:val="24"/>
        </w:rPr>
        <w:t>本人承诺：本人的学位论文是在南开大学学习期间创作完成的作品，并已通过论文答辩；提交的学位论文电子版与纸质本论文的内容一致，如因不同造成不良后果由本人自负。</w:t>
      </w:r>
    </w:p>
    <w:p w14:paraId="0C41710A">
      <w:pPr>
        <w:spacing w:before="0" w:after="0" w:line="400" w:lineRule="exact"/>
        <w:ind w:firstLine="480"/>
        <w:jc w:val="both"/>
        <w:rPr>
          <w:rFonts w:hint="eastAsia"/>
        </w:rPr>
      </w:pPr>
      <w:r>
        <w:rPr>
          <w:rFonts w:hint="eastAsia" w:ascii="Times New Roman" w:hAnsi="Times New Roman" w:eastAsia="宋体"/>
          <w:b w:val="0"/>
          <w:i w:val="0"/>
          <w:sz w:val="24"/>
        </w:rPr>
        <w:t>本人签署本授权书一份（此授权书为论文中一页），交图书馆留存。</w:t>
      </w:r>
    </w:p>
    <w:p w14:paraId="76FC6138">
      <w:pPr>
        <w:spacing w:before="0" w:after="0" w:line="400" w:lineRule="exact"/>
        <w:ind w:firstLine="480"/>
        <w:jc w:val="both"/>
        <w:rPr>
          <w:rFonts w:hint="eastAsia"/>
        </w:rPr>
      </w:pPr>
      <w:r>
        <w:rPr>
          <w:rFonts w:hint="eastAsia" w:ascii="Times New Roman" w:hAnsi="Times New Roman" w:eastAsia="宋体"/>
          <w:b w:val="0"/>
          <w:i w:val="0"/>
          <w:sz w:val="24"/>
        </w:rPr>
        <w:t>学位论文作者暨授权人（亲笔）签字：</w:t>
      </w:r>
    </w:p>
    <w:p w14:paraId="1C581C27">
      <w:pPr>
        <w:rPr>
          <w:rFonts w:hint="eastAsia"/>
        </w:rPr>
        <w:spacing w:before="0" w:after="0" w:line="400" w:lineRule="exact"/>
        <w:ind w:firstLine="480"/>
        <w:jc w:val="both"/>
        <w:outlineLvl w:val="0"/>
      </w:pPr>
      <w:r>
        <w:rPr>
          <w:rFonts w:hint="eastAsia" w:ascii="Times New Roman" w:hAnsi="Times New Roman" w:eastAsia="宋体"/>
          <w:b w:val="0"/>
          <w:i w:val="0"/>
          <w:sz w:val="24"/>
        </w:rPr>
        <w:t>第一章　年 月 日</w:t>
      </w:r>
    </w:p>
    <w:p w14:paraId="7413B730">
      <w:pPr>
        <w:spacing w:before="0" w:after="0" w:line="400" w:lineRule="exact"/>
        <w:ind w:firstLine="480"/>
        <w:jc w:val="both"/>
        <w:rPr>
          <w:rFonts w:hint="eastAsia"/>
        </w:rPr>
      </w:pPr>
      <w:r>
        <w:rPr>
          <w:rFonts w:hint="eastAsia" w:ascii="Times New Roman" w:hAnsi="Times New Roman" w:eastAsia="宋体"/>
          <w:b w:val="0"/>
          <w:i w:val="0"/>
          <w:sz w:val="24"/>
        </w:rPr>
        <w:t>南开大学研究生学位论文作者信息</w:t>
      </w:r>
    </w:p>
    <w:p w14:paraId="2D93F6F9">
      <w:pPr>
        <w:spacing w:before="0" w:after="0" w:line="400" w:lineRule="exact"/>
        <w:ind w:firstLine="480"/>
        <w:jc w:val="both"/>
        <w:rPr>
          <w:rFonts w:hint="eastAsia"/>
        </w:rPr>
      </w:pPr>
      <w:r>
        <w:rPr>
          <w:rFonts w:hint="eastAsia" w:ascii="Times New Roman" w:hAnsi="Times New Roman" w:eastAsia="宋体"/>
          <w:b w:val="0"/>
          <w:i w:val="0"/>
          <w:sz w:val="24"/>
        </w:rPr>
        <w:t>论文题目</w:t>
      </w:r>
      <w:r>
        <w:rPr>
          <w:rFonts w:hint="eastAsia" w:ascii="Times New Roman" w:hAnsi="Times New Roman" w:eastAsia="宋体"/>
          <w:b w:val="0"/>
          <w:i w:val="0"/>
          <w:sz w:val="24"/>
        </w:rPr>
        <w:tab/>
      </w:r>
      <w:r>
        <w:rPr>
          <w:rFonts w:hint="eastAsia" w:ascii="Times New Roman" w:hAnsi="Times New Roman" w:eastAsia="宋体"/>
          <w:b w:val="0"/>
          <w:i w:val="0"/>
          <w:sz w:val="24"/>
        </w:rPr>
        <w:t>碳量子点用于催化生产过氧化氢和降解水中污染物的研究</w:t>
      </w:r>
    </w:p>
    <w:p w14:paraId="4A075910">
      <w:pPr>
        <w:spacing w:before="0" w:after="0" w:line="400" w:lineRule="exact"/>
        <w:ind w:firstLine="480"/>
        <w:jc w:val="both"/>
        <w:rPr>
          <w:rFonts w:hint="eastAsia"/>
        </w:rPr>
      </w:pPr>
      <w:r>
        <w:rPr>
          <w:rFonts w:hint="eastAsia" w:ascii="Times New Roman" w:hAnsi="Times New Roman" w:eastAsia="宋体"/>
          <w:b w:val="0"/>
          <w:i w:val="0"/>
          <w:sz w:val="24"/>
        </w:rPr>
        <w:t>姓名</w:t>
      </w:r>
      <w:r>
        <w:rPr>
          <w:rFonts w:hint="eastAsia" w:ascii="Times New Roman" w:hAnsi="Times New Roman" w:eastAsia="宋体"/>
          <w:b w:val="0"/>
          <w:i w:val="0"/>
          <w:sz w:val="24"/>
        </w:rPr>
        <w:tab/>
      </w:r>
      <w:r>
        <w:rPr>
          <w:rFonts w:hint="eastAsia" w:ascii="Times New Roman" w:hAnsi="Times New Roman" w:eastAsia="宋体"/>
          <w:b w:val="0"/>
          <w:i w:val="0"/>
          <w:sz w:val="24"/>
        </w:rPr>
        <w:t>张熙国</w:t>
      </w:r>
      <w:r>
        <w:rPr>
          <w:rFonts w:hint="eastAsia" w:ascii="Times New Roman" w:hAnsi="Times New Roman" w:eastAsia="宋体"/>
          <w:b w:val="0"/>
          <w:i w:val="0"/>
          <w:sz w:val="24"/>
        </w:rPr>
        <w:tab/>
      </w:r>
      <w:r>
        <w:rPr>
          <w:rFonts w:hint="eastAsia" w:ascii="Times New Roman" w:hAnsi="Times New Roman" w:eastAsia="宋体"/>
          <w:b w:val="0"/>
          <w:i w:val="0"/>
          <w:sz w:val="24"/>
        </w:rPr>
        <w:t>学号</w:t>
      </w:r>
      <w:r>
        <w:rPr>
          <w:rFonts w:hint="eastAsia" w:ascii="Times New Roman" w:hAnsi="Times New Roman" w:eastAsia="宋体"/>
          <w:b w:val="0"/>
          <w:i w:val="0"/>
          <w:sz w:val="24"/>
        </w:rPr>
        <w:tab/>
      </w:r>
      <w:r>
        <w:rPr>
          <w:rFonts w:hint="eastAsia" w:ascii="Times New Roman" w:hAnsi="Times New Roman" w:eastAsia="宋体"/>
          <w:b w:val="0"/>
          <w:i w:val="0"/>
          <w:sz w:val="24"/>
        </w:rPr>
        <w:t>2120230920</w:t>
      </w:r>
      <w:r>
        <w:rPr>
          <w:rFonts w:hint="eastAsia" w:ascii="Times New Roman" w:hAnsi="Times New Roman" w:eastAsia="宋体"/>
          <w:b w:val="0"/>
          <w:i w:val="0"/>
          <w:sz w:val="24"/>
        </w:rPr>
        <w:tab/>
      </w:r>
      <w:r>
        <w:rPr>
          <w:rFonts w:hint="eastAsia" w:ascii="Times New Roman" w:hAnsi="Times New Roman" w:eastAsia="宋体"/>
          <w:b w:val="0"/>
          <w:i w:val="0"/>
          <w:sz w:val="24"/>
        </w:rPr>
        <w:t>答辩日期</w:t>
      </w:r>
      <w:r>
        <w:rPr>
          <w:rFonts w:hint="eastAsia" w:ascii="Times New Roman" w:hAnsi="Times New Roman" w:eastAsia="宋体"/>
          <w:b w:val="0"/>
          <w:i w:val="0"/>
          <w:sz w:val="24"/>
        </w:rPr>
        <w:tab/>
      </w:r>
      <w:r>
        <w:rPr>
          <w:rFonts w:hint="eastAsia" w:ascii="Times New Roman" w:hAnsi="Times New Roman" w:eastAsia="宋体"/>
          <w:b w:val="0"/>
          <w:i w:val="0"/>
          <w:sz w:val="24"/>
        </w:rPr>
        <w:t>2026年5月25日</w:t>
      </w:r>
    </w:p>
    <w:p w14:paraId="3B6A0CBA">
      <w:pPr>
        <w:spacing w:before="0" w:after="0" w:line="400" w:lineRule="exact"/>
        <w:ind w:firstLine="480"/>
        <w:jc w:val="both"/>
        <w:rPr>
          <w:rFonts w:hint="eastAsia"/>
        </w:rPr>
      </w:pPr>
      <w:r>
        <w:rPr>
          <w:rFonts w:hint="eastAsia" w:ascii="Times New Roman" w:hAnsi="Times New Roman" w:eastAsia="宋体"/>
          <w:b w:val="0"/>
          <w:i w:val="0"/>
          <w:sz w:val="24"/>
        </w:rPr>
        <w:t>论文类别</w:t>
      </w:r>
      <w:r>
        <w:rPr>
          <w:rFonts w:hint="eastAsia" w:ascii="Times New Roman" w:hAnsi="Times New Roman" w:eastAsia="宋体"/>
          <w:b w:val="0"/>
          <w:i w:val="0"/>
          <w:sz w:val="24"/>
        </w:rPr>
        <w:tab/>
      </w:r>
      <w:r>
        <w:rPr>
          <w:rFonts w:hint="eastAsia" w:ascii="Times New Roman" w:hAnsi="Times New Roman" w:eastAsia="宋体"/>
          <w:b w:val="0"/>
          <w:i w:val="0"/>
          <w:sz w:val="24"/>
        </w:rPr>
        <w:t>博士 □      学历硕士 √      专业学位硕士 □      同等学力硕士 □</w:t>
      </w:r>
      <w:r>
        <w:rPr>
          <w:rFonts w:hint="eastAsia" w:ascii="Times New Roman" w:hAnsi="Times New Roman" w:eastAsia="宋体"/>
          <w:b w:val="0"/>
          <w:i w:val="0"/>
          <w:sz w:val="24"/>
        </w:rPr>
        <w:tab/>
      </w:r>
      <w:r>
        <w:rPr>
          <w:rFonts w:hint="eastAsia" w:ascii="Times New Roman" w:hAnsi="Times New Roman" w:eastAsia="宋体"/>
          <w:b w:val="0"/>
          <w:i w:val="0"/>
          <w:sz w:val="24"/>
        </w:rPr>
        <w:t>划√选择</w:t>
      </w:r>
    </w:p>
    <w:p w14:paraId="06357BF5">
      <w:pPr>
        <w:spacing w:before="0" w:after="0" w:line="400" w:lineRule="exact"/>
        <w:ind w:firstLine="480"/>
        <w:jc w:val="both"/>
        <w:rPr>
          <w:rFonts w:hint="eastAsia"/>
        </w:rPr>
      </w:pPr>
      <w:r>
        <w:rPr>
          <w:rFonts w:hint="eastAsia" w:ascii="Times New Roman" w:hAnsi="Times New Roman" w:eastAsia="宋体"/>
          <w:b w:val="0"/>
          <w:i w:val="0"/>
          <w:sz w:val="24"/>
        </w:rPr>
        <w:t>学院(单位)</w:t>
      </w:r>
      <w:r>
        <w:rPr>
          <w:rFonts w:hint="eastAsia" w:ascii="Times New Roman" w:hAnsi="Times New Roman" w:eastAsia="宋体"/>
          <w:b w:val="0"/>
          <w:i w:val="0"/>
          <w:sz w:val="24"/>
        </w:rPr>
        <w:tab/>
      </w:r>
      <w:r>
        <w:rPr>
          <w:rFonts w:hint="eastAsia" w:ascii="Times New Roman" w:hAnsi="Times New Roman" w:eastAsia="宋体"/>
          <w:b w:val="0"/>
          <w:i w:val="0"/>
          <w:sz w:val="24"/>
        </w:rPr>
        <w:t>环境科学与工程学院</w:t>
      </w:r>
      <w:r>
        <w:rPr>
          <w:rFonts w:hint="eastAsia" w:ascii="Times New Roman" w:hAnsi="Times New Roman" w:eastAsia="宋体"/>
          <w:b w:val="0"/>
          <w:i w:val="0"/>
          <w:sz w:val="24"/>
        </w:rPr>
        <w:tab/>
      </w:r>
      <w:r>
        <w:rPr>
          <w:rFonts w:hint="eastAsia" w:ascii="Times New Roman" w:hAnsi="Times New Roman" w:eastAsia="宋体"/>
          <w:b w:val="0"/>
          <w:i w:val="0"/>
          <w:sz w:val="24"/>
        </w:rPr>
        <w:t>学科/专业(专业学位)名称</w:t>
      </w:r>
      <w:r>
        <w:rPr>
          <w:rFonts w:hint="eastAsia" w:ascii="Times New Roman" w:hAnsi="Times New Roman" w:eastAsia="宋体"/>
          <w:b w:val="0"/>
          <w:i w:val="0"/>
          <w:sz w:val="24"/>
        </w:rPr>
        <w:tab/>
      </w:r>
      <w:r>
        <w:rPr>
          <w:rFonts w:hint="eastAsia" w:ascii="Times New Roman" w:hAnsi="Times New Roman" w:eastAsia="宋体"/>
          <w:b w:val="0"/>
          <w:i w:val="0"/>
          <w:sz w:val="24"/>
        </w:rPr>
        <w:t>环境工程</w:t>
      </w:r>
    </w:p>
    <w:p w14:paraId="6928D9AC">
      <w:pPr>
        <w:spacing w:before="0" w:after="0" w:line="400" w:lineRule="exact"/>
        <w:ind w:firstLine="480"/>
        <w:jc w:val="both"/>
        <w:rPr>
          <w:rFonts w:hint="eastAsia"/>
        </w:rPr>
      </w:pPr>
      <w:r>
        <w:rPr>
          <w:rFonts w:hint="eastAsia" w:ascii="Times New Roman" w:hAnsi="Times New Roman" w:eastAsia="宋体"/>
          <w:b w:val="0"/>
          <w:i w:val="0"/>
          <w:sz w:val="24"/>
        </w:rPr>
        <w:t>联系电话</w:t>
      </w:r>
      <w:r>
        <w:rPr>
          <w:rFonts w:hint="eastAsia" w:ascii="Times New Roman" w:hAnsi="Times New Roman" w:eastAsia="宋体"/>
          <w:b w:val="0"/>
          <w:i w:val="0"/>
          <w:sz w:val="24"/>
        </w:rPr>
        <w:tab/>
      </w:r>
      <w:r>
        <w:rPr>
          <w:rFonts w:hint="eastAsia" w:ascii="Times New Roman" w:hAnsi="Times New Roman" w:eastAsia="宋体"/>
          <w:b w:val="0"/>
          <w:i w:val="0"/>
          <w:sz w:val="24"/>
        </w:rPr>
        <w:t>13813813089</w:t>
      </w:r>
      <w:r>
        <w:rPr>
          <w:rFonts w:hint="eastAsia" w:ascii="Times New Roman" w:hAnsi="Times New Roman" w:eastAsia="宋体"/>
          <w:b w:val="0"/>
          <w:i w:val="0"/>
          <w:sz w:val="24"/>
        </w:rPr>
        <w:tab/>
      </w:r>
      <w:r>
        <w:rPr>
          <w:rFonts w:hint="eastAsia" w:ascii="Times New Roman" w:hAnsi="Times New Roman" w:eastAsia="宋体"/>
          <w:b w:val="0"/>
          <w:i w:val="0"/>
          <w:sz w:val="24"/>
        </w:rPr>
        <w:t>电子邮箱</w:t>
      </w:r>
      <w:r>
        <w:rPr>
          <w:rFonts w:hint="eastAsia" w:ascii="Times New Roman" w:hAnsi="Times New Roman" w:eastAsia="宋体"/>
          <w:b w:val="0"/>
          <w:i w:val="0"/>
          <w:sz w:val="24"/>
        </w:rPr>
        <w:tab/>
      </w:r>
      <w:r>
        <w:rPr>
          <w:rFonts w:hint="eastAsia" w:ascii="Times New Roman" w:hAnsi="Times New Roman" w:eastAsia="宋体"/>
          <w:b w:val="0"/>
          <w:i w:val="0"/>
          <w:sz w:val="24"/>
        </w:rPr>
        <w:t>zhangxiguohhu@163.com</w:t>
      </w:r>
    </w:p>
    <w:p w14:paraId="45E429C6">
      <w:pPr>
        <w:spacing w:before="0" w:after="0" w:line="400" w:lineRule="exact"/>
        <w:ind w:firstLine="480"/>
        <w:jc w:val="both"/>
        <w:rPr>
          <w:rFonts w:hint="eastAsia"/>
        </w:rPr>
      </w:pPr>
      <w:r>
        <w:rPr>
          <w:rFonts w:hint="eastAsia" w:ascii="Times New Roman" w:hAnsi="Times New Roman" w:eastAsia="宋体"/>
          <w:b w:val="0"/>
          <w:i w:val="0"/>
          <w:sz w:val="24"/>
        </w:rPr>
        <w:t>通信地址(邮编)：</w:t>
      </w:r>
      <w:r>
        <w:rPr>
          <w:rFonts w:hint="eastAsia" w:ascii="Times New Roman" w:hAnsi="Times New Roman" w:eastAsia="宋体"/>
          <w:b w:val="0"/>
          <w:i w:val="0"/>
          <w:sz w:val="24"/>
        </w:rPr>
        <w:tab/>
      </w:r>
    </w:p>
    <w:p w14:paraId="1A14F933">
      <w:pPr>
        <w:spacing w:before="0" w:after="0" w:line="400" w:lineRule="exact"/>
        <w:ind w:firstLine="480"/>
        <w:jc w:val="both"/>
        <w:rPr>
          <w:rFonts w:hint="eastAsia"/>
        </w:rPr>
      </w:pPr>
      <w:r>
        <w:rPr>
          <w:rFonts w:hint="eastAsia" w:ascii="Times New Roman" w:hAnsi="Times New Roman" w:eastAsia="宋体"/>
          <w:b w:val="0"/>
          <w:i w:val="0"/>
          <w:sz w:val="24"/>
        </w:rPr>
        <w:t>非公开论文编号</w:t>
      </w:r>
      <w:r>
        <w:rPr>
          <w:rFonts w:hint="eastAsia" w:ascii="Times New Roman" w:hAnsi="Times New Roman" w:eastAsia="宋体"/>
          <w:b w:val="0"/>
          <w:i w:val="0"/>
          <w:sz w:val="24"/>
        </w:rPr>
        <w:tab/>
      </w:r>
      <w:r>
        <w:rPr>
          <w:rFonts w:hint="eastAsia" w:ascii="Times New Roman" w:hAnsi="Times New Roman" w:eastAsia="宋体"/>
          <w:b w:val="0"/>
          <w:i w:val="0"/>
          <w:sz w:val="24"/>
        </w:rPr>
        <w:tab/>
      </w:r>
      <w:r>
        <w:rPr>
          <w:rFonts w:hint="eastAsia" w:ascii="Times New Roman" w:hAnsi="Times New Roman" w:eastAsia="宋体"/>
          <w:b w:val="0"/>
          <w:i w:val="0"/>
          <w:sz w:val="24"/>
        </w:rPr>
        <w:t>备注</w:t>
      </w:r>
      <w:r>
        <w:rPr>
          <w:rFonts w:hint="eastAsia" w:ascii="Times New Roman" w:hAnsi="Times New Roman" w:eastAsia="宋体"/>
          <w:b w:val="0"/>
          <w:i w:val="0"/>
          <w:sz w:val="24"/>
        </w:rPr>
        <w:tab/>
      </w:r>
    </w:p>
    <w:p w14:paraId="728D518D">
      <w:pPr>
        <w:spacing w:before="0" w:after="0" w:line="400" w:lineRule="exact"/>
        <w:ind w:firstLine="480"/>
        <w:jc w:val="both"/>
        <w:rPr>
          <w:rFonts w:hint="eastAsia"/>
        </w:rPr>
      </w:pPr>
      <w:r>
        <w:rPr>
          <w:rFonts w:hint="eastAsia" w:ascii="Times New Roman" w:hAnsi="Times New Roman" w:eastAsia="宋体"/>
          <w:b w:val="0"/>
          <w:i w:val="0"/>
          <w:sz w:val="24"/>
        </w:rPr>
        <w:t>注：本授权书适用我校授予的所有博士、硕士的学位论文。如已批准为非公开学位论文，须向图书馆提供批准通过的《南开大学研究生申请非公开学位论文审批表》复印件和“非公开学位论文标注说明”页原件。</w:t>
      </w:r>
    </w:p>
    <w:p w14:paraId="615D0031">
      <w:pPr>
        <w:rPr>
          <w:rFonts w:hint="eastAsia"/>
        </w:rPr>
      </w:pPr>
    </w:p>
    <w:p w14:paraId="7B378819">
      <w:pPr>
        <w:rPr>
          <w:rFonts w:hint="eastAsia"/>
        </w:rPr>
      </w:pPr>
    </w:p>
    <w:p w14:paraId="09E81FE4">
      <w:pPr>
        <w:rPr>
          <w:rFonts w:hint="eastAsia"/>
        </w:rPr>
        <w:sectPr>
          <w:headerReference r:id="rId5" w:type="default"/>
          <w:footerReference r:id="rId6" w:type="default"/>
          <w:pgSz w:w="11906" w:h="16838"/>
          <w:pgMar w:top="2154" w:right="1814" w:bottom="2154" w:left="1814" w:header="1701" w:footer="1701" w:gutter="0"/>
          <w:cols w:space="425" w:num="1"/>
          <w:docGrid w:type="lines" w:linePitch="312" w:charSpace="0"/>
        </w:sectPr>
      </w:pPr>
    </w:p>
    <w:p w14:paraId="508BD37D">
      <w:pPr>
        <w:pStyle w:val="14"/>
        <w:spacing w:before="0" w:after="0" w:line="400" w:lineRule="exact"/>
        <w:ind w:left="0" w:leftChars="0" w:right="0" w:firstLineChars="0" w:firstLine="0"/>
        <w:jc w:val="left"/>
        <w:outlineLvl w:val="0"/>
      </w:pPr>
      <w:r>
        <w:rPr>
          <w:rFonts w:ascii="Times New Roman" w:hAnsi="Times New Roman" w:eastAsia="宋体" w:cs="Arial"/>
          <w:b w:val="0"/>
          <w:i w:val="0"/>
          <w:sz w:val="24"/>
        </w:rPr>
        <w:t>第二章　目录</w:t>
      </w:r>
    </w:p>
    <w:p w14:paraId="503C10B7">
      <w:r>
        <w:fldChar w:fldCharType="begin" w:dirty="true"/>
      </w:r>
      <w:r>
        <w:instrText xml:space="preserve"> TOC \o "1-3" \h \z \u </w:instrText>
      </w:r>
      <w:r>
        <w:fldChar w:fldCharType="separate"/>
      </w:r>
    </w:p>
    <w:p w14:paraId="4DC885D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第一章　绪论</w:t>
      </w:r>
      <w:r>
        <w:rPr>
          <w:rFonts w:ascii="Times New Roman" w:hAnsi="Times New Roman" w:eastAsia="宋体"/>
          <w:b w:val="0"/>
          <w:i w:val="0"/>
          <w:sz w:val="24"/>
        </w:rPr>
        <w:tab/>
      </w:r>
      <w:r>
        <w:rPr>
          <w:rFonts w:ascii="Times New Roman" w:hAnsi="Times New Roman" w:eastAsia="宋体"/>
          <w:b w:val="0"/>
          <w:i w:val="0"/>
          <w:sz w:val="24"/>
        </w:rPr>
        <w:t>1</w:t>
      </w:r>
    </w:p>
    <w:p w14:paraId="7C8F7AA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概述</w:t>
      </w:r>
      <w:r>
        <w:rPr>
          <w:rFonts w:ascii="Times New Roman" w:hAnsi="Times New Roman" w:eastAsia="宋体"/>
          <w:b w:val="0"/>
          <w:i w:val="0"/>
          <w:sz w:val="24"/>
        </w:rPr>
        <w:tab/>
      </w:r>
      <w:r>
        <w:rPr>
          <w:rFonts w:ascii="Times New Roman" w:hAnsi="Times New Roman" w:eastAsia="宋体"/>
          <w:b w:val="0"/>
          <w:i w:val="0"/>
          <w:sz w:val="24"/>
        </w:rPr>
        <w:t>1</w:t>
      </w:r>
    </w:p>
    <w:p w14:paraId="22CD4A4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成方法</w:t>
      </w:r>
      <w:r>
        <w:rPr>
          <w:rFonts w:ascii="Times New Roman" w:hAnsi="Times New Roman" w:eastAsia="宋体"/>
          <w:b w:val="0"/>
          <w:i w:val="0"/>
          <w:sz w:val="24"/>
        </w:rPr>
        <w:tab/>
      </w:r>
      <w:r>
        <w:rPr>
          <w:rFonts w:ascii="Times New Roman" w:hAnsi="Times New Roman" w:eastAsia="宋体"/>
          <w:b w:val="0"/>
          <w:i w:val="0"/>
          <w:sz w:val="24"/>
        </w:rPr>
        <w:t>1</w:t>
      </w:r>
    </w:p>
    <w:p w14:paraId="34C06B38">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面功能化策略</w:t>
      </w:r>
      <w:r>
        <w:rPr>
          <w:rFonts w:ascii="Times New Roman" w:hAnsi="Times New Roman" w:eastAsia="宋体"/>
          <w:b w:val="0"/>
          <w:i w:val="0"/>
          <w:sz w:val="24"/>
        </w:rPr>
        <w:tab/>
      </w:r>
      <w:r>
        <w:rPr>
          <w:rFonts w:ascii="Times New Roman" w:hAnsi="Times New Roman" w:eastAsia="宋体"/>
          <w:b w:val="0"/>
          <w:i w:val="0"/>
          <w:sz w:val="24"/>
        </w:rPr>
        <w:t>1</w:t>
      </w:r>
    </w:p>
    <w:p w14:paraId="076722C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能团修饰</w:t>
      </w:r>
      <w:r>
        <w:rPr>
          <w:rFonts w:ascii="Times New Roman" w:hAnsi="Times New Roman" w:eastAsia="宋体"/>
          <w:b w:val="0"/>
          <w:i w:val="0"/>
          <w:sz w:val="24"/>
        </w:rPr>
        <w:tab/>
      </w:r>
      <w:r>
        <w:rPr>
          <w:rFonts w:ascii="Times New Roman" w:hAnsi="Times New Roman" w:eastAsia="宋体"/>
          <w:b w:val="0"/>
          <w:i w:val="0"/>
          <w:sz w:val="24"/>
        </w:rPr>
        <w:t>1</w:t>
      </w:r>
    </w:p>
    <w:p w14:paraId="164D008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掺杂</w:t>
      </w:r>
      <w:r>
        <w:rPr>
          <w:rFonts w:ascii="Times New Roman" w:hAnsi="Times New Roman" w:eastAsia="宋体"/>
          <w:b w:val="0"/>
          <w:i w:val="0"/>
          <w:sz w:val="24"/>
        </w:rPr>
        <w:tab/>
      </w:r>
      <w:r>
        <w:rPr>
          <w:rFonts w:ascii="Times New Roman" w:hAnsi="Times New Roman" w:eastAsia="宋体"/>
          <w:b w:val="0"/>
          <w:i w:val="0"/>
          <w:sz w:val="24"/>
        </w:rPr>
        <w:t>1</w:t>
      </w:r>
    </w:p>
    <w:p w14:paraId="7F9F38C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构构建</w:t>
      </w:r>
      <w:r>
        <w:rPr>
          <w:rFonts w:ascii="Times New Roman" w:hAnsi="Times New Roman" w:eastAsia="宋体"/>
          <w:b w:val="0"/>
          <w:i w:val="0"/>
          <w:sz w:val="24"/>
        </w:rPr>
        <w:tab/>
      </w:r>
      <w:r>
        <w:rPr>
          <w:rFonts w:ascii="Times New Roman" w:hAnsi="Times New Roman" w:eastAsia="宋体"/>
          <w:b w:val="0"/>
          <w:i w:val="0"/>
          <w:sz w:val="24"/>
        </w:rPr>
        <w:t>1</w:t>
      </w:r>
    </w:p>
    <w:p w14:paraId="6BB62BB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用于光催化产过氧化氢</w:t>
      </w:r>
      <w:r>
        <w:rPr>
          <w:rFonts w:ascii="Times New Roman" w:hAnsi="Times New Roman" w:eastAsia="宋体"/>
          <w:b w:val="0"/>
          <w:i w:val="0"/>
          <w:sz w:val="24"/>
        </w:rPr>
        <w:tab/>
      </w:r>
      <w:r>
        <w:rPr>
          <w:rFonts w:ascii="Times New Roman" w:hAnsi="Times New Roman" w:eastAsia="宋体"/>
          <w:b w:val="0"/>
          <w:i w:val="0"/>
          <w:sz w:val="24"/>
        </w:rPr>
        <w:t>1</w:t>
      </w:r>
    </w:p>
    <w:p w14:paraId="2581362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产过氧化氢的基本原理</w:t>
      </w:r>
      <w:r>
        <w:rPr>
          <w:rFonts w:ascii="Times New Roman" w:hAnsi="Times New Roman" w:eastAsia="宋体"/>
          <w:b w:val="0"/>
          <w:i w:val="0"/>
          <w:sz w:val="24"/>
        </w:rPr>
        <w:tab/>
      </w:r>
      <w:r>
        <w:rPr>
          <w:rFonts w:ascii="Times New Roman" w:hAnsi="Times New Roman" w:eastAsia="宋体"/>
          <w:b w:val="0"/>
          <w:i w:val="0"/>
          <w:sz w:val="24"/>
        </w:rPr>
        <w:t>1</w:t>
      </w:r>
    </w:p>
    <w:p w14:paraId="5F8B13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催化剂及改性策略</w:t>
      </w:r>
      <w:r>
        <w:rPr>
          <w:rFonts w:ascii="Times New Roman" w:hAnsi="Times New Roman" w:eastAsia="宋体"/>
          <w:b w:val="0"/>
          <w:i w:val="0"/>
          <w:sz w:val="24"/>
        </w:rPr>
        <w:tab/>
      </w:r>
      <w:r>
        <w:rPr>
          <w:rFonts w:ascii="Times New Roman" w:hAnsi="Times New Roman" w:eastAsia="宋体"/>
          <w:b w:val="0"/>
          <w:i w:val="0"/>
          <w:sz w:val="24"/>
        </w:rPr>
        <w:t>1</w:t>
      </w:r>
    </w:p>
    <w:p w14:paraId="7FB170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于光催化产H2O2</w:t>
      </w:r>
      <w:r>
        <w:rPr>
          <w:rFonts w:ascii="Times New Roman" w:hAnsi="Times New Roman" w:eastAsia="宋体"/>
          <w:b w:val="0"/>
          <w:i w:val="0"/>
          <w:sz w:val="24"/>
        </w:rPr>
        <w:tab/>
      </w:r>
      <w:r>
        <w:rPr>
          <w:rFonts w:ascii="Times New Roman" w:hAnsi="Times New Roman" w:eastAsia="宋体"/>
          <w:b w:val="0"/>
          <w:i w:val="0"/>
          <w:sz w:val="24"/>
        </w:rPr>
        <w:t>1</w:t>
      </w:r>
    </w:p>
    <w:p w14:paraId="7D8C998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第五节　单原子降解污染物</w:t>
      </w:r>
      <w:r>
        <w:rPr>
          <w:rFonts w:ascii="Times New Roman" w:hAnsi="Times New Roman" w:eastAsia="宋体"/>
          <w:b w:val="0"/>
          <w:i w:val="0"/>
          <w:sz w:val="24"/>
        </w:rPr>
        <w:tab/>
      </w:r>
      <w:r>
        <w:rPr>
          <w:rFonts w:ascii="Times New Roman" w:hAnsi="Times New Roman" w:eastAsia="宋体"/>
          <w:b w:val="0"/>
          <w:i w:val="0"/>
          <w:sz w:val="24"/>
        </w:rPr>
        <w:t>1</w:t>
      </w:r>
    </w:p>
    <w:p w14:paraId="0405E4A6">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点直接催化作用及局限性</w:t>
      </w:r>
      <w:r>
        <w:rPr>
          <w:rFonts w:ascii="Times New Roman" w:hAnsi="Times New Roman" w:eastAsia="宋体"/>
          <w:b w:val="0"/>
          <w:i w:val="0"/>
          <w:sz w:val="24"/>
        </w:rPr>
        <w:tab/>
      </w:r>
      <w:r>
        <w:rPr>
          <w:rFonts w:ascii="Times New Roman" w:hAnsi="Times New Roman" w:eastAsia="宋体"/>
          <w:b w:val="0"/>
          <w:i w:val="0"/>
          <w:sz w:val="24"/>
        </w:rPr>
        <w:t>1</w:t>
      </w:r>
    </w:p>
    <w:p w14:paraId="1A4805A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点性能的提升策略</w:t>
      </w:r>
      <w:r>
        <w:rPr>
          <w:rFonts w:ascii="Times New Roman" w:hAnsi="Times New Roman" w:eastAsia="宋体"/>
          <w:b w:val="0"/>
          <w:i w:val="0"/>
          <w:sz w:val="24"/>
        </w:rPr>
        <w:tab/>
      </w:r>
      <w:r>
        <w:rPr>
          <w:rFonts w:ascii="Times New Roman" w:hAnsi="Times New Roman" w:eastAsia="宋体"/>
          <w:b w:val="0"/>
          <w:i w:val="0"/>
          <w:sz w:val="24"/>
        </w:rPr>
        <w:t>1</w:t>
      </w:r>
    </w:p>
    <w:p w14:paraId="2B81C5D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载单原子电活化PMS降解污染物</w:t>
      </w:r>
      <w:r>
        <w:rPr>
          <w:rFonts w:ascii="Times New Roman" w:hAnsi="Times New Roman" w:eastAsia="宋体"/>
          <w:b w:val="0"/>
          <w:i w:val="0"/>
          <w:sz w:val="24"/>
        </w:rPr>
        <w:tab/>
      </w:r>
      <w:r>
        <w:rPr>
          <w:rFonts w:ascii="Times New Roman" w:hAnsi="Times New Roman" w:eastAsia="宋体"/>
          <w:b w:val="0"/>
          <w:i w:val="0"/>
          <w:sz w:val="24"/>
        </w:rPr>
        <w:t>1</w:t>
      </w:r>
    </w:p>
    <w:p w14:paraId="6FDEC7DB">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第六节　及意义</w:t>
      </w:r>
      <w:r>
        <w:rPr>
          <w:rFonts w:ascii="Times New Roman" w:hAnsi="Times New Roman" w:eastAsia="宋体"/>
          <w:b w:val="0"/>
          <w:i w:val="0"/>
          <w:sz w:val="24"/>
        </w:rPr>
        <w:tab/>
      </w:r>
      <w:r>
        <w:rPr>
          <w:rFonts w:ascii="Times New Roman" w:hAnsi="Times New Roman" w:eastAsia="宋体"/>
          <w:b w:val="0"/>
          <w:i w:val="0"/>
          <w:sz w:val="24"/>
        </w:rPr>
        <w:t>1</w:t>
      </w:r>
    </w:p>
    <w:p w14:paraId="59C1A68C">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义</w:t>
      </w:r>
      <w:r>
        <w:rPr>
          <w:rFonts w:ascii="Times New Roman" w:hAnsi="Times New Roman" w:eastAsia="宋体"/>
          <w:b w:val="0"/>
          <w:i w:val="0"/>
          <w:sz w:val="24"/>
        </w:rPr>
        <w:tab/>
      </w:r>
      <w:r>
        <w:rPr>
          <w:rFonts w:ascii="Times New Roman" w:hAnsi="Times New Roman" w:eastAsia="宋体"/>
          <w:b w:val="0"/>
          <w:i w:val="0"/>
          <w:sz w:val="24"/>
        </w:rPr>
        <w:t>1</w:t>
      </w:r>
    </w:p>
    <w:p w14:paraId="59B79781">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容</w:t>
      </w:r>
      <w:r>
        <w:rPr>
          <w:rFonts w:ascii="Times New Roman" w:hAnsi="Times New Roman" w:eastAsia="宋体"/>
          <w:b w:val="0"/>
          <w:i w:val="0"/>
          <w:sz w:val="24"/>
        </w:rPr>
        <w:tab/>
      </w:r>
      <w:r>
        <w:rPr>
          <w:rFonts w:ascii="Times New Roman" w:hAnsi="Times New Roman" w:eastAsia="宋体"/>
          <w:b w:val="0"/>
          <w:i w:val="0"/>
          <w:sz w:val="24"/>
        </w:rPr>
        <w:t>1</w:t>
      </w:r>
    </w:p>
    <w:p w14:paraId="2EFE3F8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线</w:t>
      </w:r>
      <w:r>
        <w:rPr>
          <w:rFonts w:ascii="Times New Roman" w:hAnsi="Times New Roman" w:eastAsia="宋体"/>
          <w:b w:val="0"/>
          <w:i w:val="0"/>
          <w:sz w:val="24"/>
        </w:rPr>
        <w:tab/>
      </w:r>
      <w:r>
        <w:rPr>
          <w:rFonts w:ascii="Times New Roman" w:hAnsi="Times New Roman" w:eastAsia="宋体"/>
          <w:b w:val="0"/>
          <w:i w:val="0"/>
          <w:sz w:val="24"/>
        </w:rPr>
        <w:t>1</w:t>
      </w:r>
    </w:p>
    <w:p w14:paraId="13F8C245">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第二章　量子点光催化产过氧化氢研究</w:t>
      </w:r>
      <w:r>
        <w:rPr>
          <w:rFonts w:ascii="Times New Roman" w:hAnsi="Times New Roman" w:eastAsia="宋体"/>
          <w:b w:val="0"/>
          <w:i w:val="0"/>
          <w:sz w:val="24"/>
        </w:rPr>
        <w:tab/>
      </w:r>
      <w:r>
        <w:rPr>
          <w:rFonts w:ascii="Times New Roman" w:hAnsi="Times New Roman" w:eastAsia="宋体"/>
          <w:b w:val="0"/>
          <w:i w:val="0"/>
          <w:sz w:val="24"/>
        </w:rPr>
        <w:t>1</w:t>
      </w:r>
    </w:p>
    <w:p w14:paraId="43A58AF5">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6929BA0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1C14917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600D3C6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53AD0242">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47ECE0A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点的形貌与结构</w:t>
      </w:r>
      <w:r>
        <w:rPr>
          <w:rFonts w:ascii="Times New Roman" w:hAnsi="Times New Roman" w:eastAsia="宋体"/>
          <w:b w:val="0"/>
          <w:i w:val="0"/>
          <w:sz w:val="24"/>
        </w:rPr>
        <w:tab/>
      </w:r>
      <w:r>
        <w:rPr>
          <w:rFonts w:ascii="Times New Roman" w:hAnsi="Times New Roman" w:eastAsia="宋体"/>
          <w:b w:val="0"/>
          <w:i w:val="0"/>
          <w:sz w:val="24"/>
        </w:rPr>
        <w:t>1</w:t>
      </w:r>
    </w:p>
    <w:p w14:paraId="292BB39E">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点光催化产H2O2性能</w:t>
      </w:r>
      <w:r>
        <w:rPr>
          <w:rFonts w:ascii="Times New Roman" w:hAnsi="Times New Roman" w:eastAsia="宋体"/>
          <w:b w:val="0"/>
          <w:i w:val="0"/>
          <w:sz w:val="24"/>
        </w:rPr>
        <w:tab/>
      </w:r>
      <w:r>
        <w:rPr>
          <w:rFonts w:ascii="Times New Roman" w:hAnsi="Times New Roman" w:eastAsia="宋体"/>
          <w:b w:val="0"/>
          <w:i w:val="0"/>
          <w:sz w:val="24"/>
        </w:rPr>
        <w:t>1</w:t>
      </w:r>
    </w:p>
    <w:p w14:paraId="6679633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活性位点的识别</w:t>
      </w:r>
      <w:r>
        <w:rPr>
          <w:rFonts w:ascii="Times New Roman" w:hAnsi="Times New Roman" w:eastAsia="宋体"/>
          <w:b w:val="0"/>
          <w:i w:val="0"/>
          <w:sz w:val="24"/>
        </w:rPr>
        <w:tab/>
      </w:r>
      <w:r>
        <w:rPr>
          <w:rFonts w:ascii="Times New Roman" w:hAnsi="Times New Roman" w:eastAsia="宋体"/>
          <w:b w:val="0"/>
          <w:i w:val="0"/>
          <w:sz w:val="24"/>
        </w:rPr>
        <w:t>1</w:t>
      </w:r>
    </w:p>
    <w:p w14:paraId="1D184F0B">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四、　点高效产H2O2机理分析</w:t>
      </w:r>
      <w:r>
        <w:rPr>
          <w:rFonts w:ascii="Times New Roman" w:hAnsi="Times New Roman" w:eastAsia="宋体"/>
          <w:b w:val="0"/>
          <w:i w:val="0"/>
          <w:sz w:val="24"/>
        </w:rPr>
        <w:tab/>
      </w:r>
      <w:r>
        <w:rPr>
          <w:rFonts w:ascii="Times New Roman" w:hAnsi="Times New Roman" w:eastAsia="宋体"/>
          <w:b w:val="0"/>
          <w:i w:val="0"/>
          <w:sz w:val="24"/>
        </w:rPr>
        <w:t>1</w:t>
      </w:r>
    </w:p>
    <w:p w14:paraId="4A75B363">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3A2B5852">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第三章　单原子催化降解水中双酚A的研究</w:t>
      </w:r>
      <w:r>
        <w:rPr>
          <w:rFonts w:ascii="Times New Roman" w:hAnsi="Times New Roman" w:eastAsia="宋体"/>
          <w:b w:val="0"/>
          <w:i w:val="0"/>
          <w:sz w:val="24"/>
        </w:rPr>
        <w:tab/>
      </w:r>
      <w:r>
        <w:rPr>
          <w:rFonts w:ascii="Times New Roman" w:hAnsi="Times New Roman" w:eastAsia="宋体"/>
          <w:b w:val="0"/>
          <w:i w:val="0"/>
          <w:sz w:val="24"/>
        </w:rPr>
        <w:t>1</w:t>
      </w:r>
    </w:p>
    <w:p w14:paraId="7D18AB31">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引言</w:t>
      </w:r>
      <w:r>
        <w:rPr>
          <w:rFonts w:ascii="Times New Roman" w:hAnsi="Times New Roman" w:eastAsia="宋体"/>
          <w:b w:val="0"/>
          <w:i w:val="0"/>
          <w:sz w:val="24"/>
        </w:rPr>
        <w:tab/>
      </w:r>
      <w:r>
        <w:rPr>
          <w:rFonts w:ascii="Times New Roman" w:hAnsi="Times New Roman" w:eastAsia="宋体"/>
          <w:b w:val="0"/>
          <w:i w:val="0"/>
          <w:sz w:val="24"/>
        </w:rPr>
        <w:t>1</w:t>
      </w:r>
    </w:p>
    <w:p w14:paraId="0A859B27">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与方法</w:t>
      </w:r>
      <w:r>
        <w:rPr>
          <w:rFonts w:ascii="Times New Roman" w:hAnsi="Times New Roman" w:eastAsia="宋体"/>
          <w:b w:val="0"/>
          <w:i w:val="0"/>
          <w:sz w:val="24"/>
        </w:rPr>
        <w:tab/>
      </w:r>
      <w:r>
        <w:rPr>
          <w:rFonts w:ascii="Times New Roman" w:hAnsi="Times New Roman" w:eastAsia="宋体"/>
          <w:b w:val="0"/>
          <w:i w:val="0"/>
          <w:sz w:val="24"/>
        </w:rPr>
        <w:t>1</w:t>
      </w:r>
    </w:p>
    <w:p w14:paraId="25293FB9">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料与仪器</w:t>
      </w:r>
      <w:r>
        <w:rPr>
          <w:rFonts w:ascii="Times New Roman" w:hAnsi="Times New Roman" w:eastAsia="宋体"/>
          <w:b w:val="0"/>
          <w:i w:val="0"/>
          <w:sz w:val="24"/>
        </w:rPr>
        <w:tab/>
      </w:r>
      <w:r>
        <w:rPr>
          <w:rFonts w:ascii="Times New Roman" w:hAnsi="Times New Roman" w:eastAsia="宋体"/>
          <w:b w:val="0"/>
          <w:i w:val="0"/>
          <w:sz w:val="24"/>
        </w:rPr>
        <w:t>1</w:t>
      </w:r>
    </w:p>
    <w:p w14:paraId="5216014D">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法</w:t>
      </w:r>
      <w:r>
        <w:rPr>
          <w:rFonts w:ascii="Times New Roman" w:hAnsi="Times New Roman" w:eastAsia="宋体"/>
          <w:b w:val="0"/>
          <w:i w:val="0"/>
          <w:sz w:val="24"/>
        </w:rPr>
        <w:tab/>
      </w:r>
      <w:r>
        <w:rPr>
          <w:rFonts w:ascii="Times New Roman" w:hAnsi="Times New Roman" w:eastAsia="宋体"/>
          <w:b w:val="0"/>
          <w:i w:val="0"/>
          <w:sz w:val="24"/>
        </w:rPr>
        <w:t>1</w:t>
      </w:r>
    </w:p>
    <w:p w14:paraId="758E6BAC">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第三节　论</w:t>
      </w:r>
      <w:r>
        <w:rPr>
          <w:rFonts w:ascii="Times New Roman" w:hAnsi="Times New Roman" w:eastAsia="宋体"/>
          <w:b w:val="0"/>
          <w:i w:val="0"/>
          <w:sz w:val="24"/>
        </w:rPr>
        <w:tab/>
      </w:r>
      <w:r>
        <w:rPr>
          <w:rFonts w:ascii="Times New Roman" w:hAnsi="Times New Roman" w:eastAsia="宋体"/>
          <w:b w:val="0"/>
          <w:i w:val="0"/>
          <w:sz w:val="24"/>
        </w:rPr>
        <w:t>1</w:t>
      </w:r>
    </w:p>
    <w:p w14:paraId="102F1868">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一、　催化剂的结构表征</w:t>
      </w:r>
      <w:r>
        <w:rPr>
          <w:rFonts w:ascii="Times New Roman" w:hAnsi="Times New Roman" w:eastAsia="宋体"/>
          <w:b w:val="0"/>
          <w:i w:val="0"/>
          <w:sz w:val="24"/>
        </w:rPr>
        <w:tab/>
      </w:r>
      <w:r>
        <w:rPr>
          <w:rFonts w:ascii="Times New Roman" w:hAnsi="Times New Roman" w:eastAsia="宋体"/>
          <w:b w:val="0"/>
          <w:i w:val="0"/>
          <w:sz w:val="24"/>
        </w:rPr>
        <w:t>1</w:t>
      </w:r>
    </w:p>
    <w:p w14:paraId="20082D42">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二、　催化剂的电催化性能</w:t>
      </w:r>
      <w:r>
        <w:rPr>
          <w:rFonts w:ascii="Times New Roman" w:hAnsi="Times New Roman" w:eastAsia="宋体"/>
          <w:b w:val="0"/>
          <w:i w:val="0"/>
          <w:sz w:val="24"/>
        </w:rPr>
        <w:tab/>
      </w:r>
      <w:r>
        <w:rPr>
          <w:rFonts w:ascii="Times New Roman" w:hAnsi="Times New Roman" w:eastAsia="宋体"/>
          <w:b w:val="0"/>
          <w:i w:val="0"/>
          <w:sz w:val="24"/>
        </w:rPr>
        <w:t>1</w:t>
      </w:r>
    </w:p>
    <w:p w14:paraId="0260701F">
      <w:pPr>
        <w:pStyle w:val="17"/>
        <w:tabs>
          <w:tab w:val="right" w:leader="dot" w:pos="8278"/>
        </w:tabs>
        <w:spacing w:before="0" w:after="0" w:line="400" w:lineRule="exact"/>
        <w:ind w:leftChars="200" w:right="0" w:firstLineChars="0" w:firstLine="0"/>
        <w:jc w:val="left"/>
      </w:pPr>
      <w:r>
        <w:rPr>
          <w:rFonts w:ascii="Times New Roman" w:hAnsi="Times New Roman" w:eastAsia="宋体"/>
          <w:b w:val="0"/>
          <w:i w:val="0"/>
          <w:sz w:val="24"/>
        </w:rPr>
        <w:t>三、　进单原子催化剂活化PMS的机理探究</w:t>
      </w:r>
      <w:r>
        <w:rPr>
          <w:rFonts w:ascii="Times New Roman" w:hAnsi="Times New Roman" w:eastAsia="宋体"/>
          <w:b w:val="0"/>
          <w:i w:val="0"/>
          <w:sz w:val="24"/>
        </w:rPr>
        <w:tab/>
      </w:r>
      <w:r>
        <w:rPr>
          <w:rFonts w:ascii="Times New Roman" w:hAnsi="Times New Roman" w:eastAsia="宋体"/>
          <w:b w:val="0"/>
          <w:i w:val="0"/>
          <w:sz w:val="24"/>
        </w:rPr>
        <w:t>1</w:t>
      </w:r>
    </w:p>
    <w:p w14:paraId="008F0B9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第四节　本章小结</w:t>
      </w:r>
      <w:r>
        <w:rPr>
          <w:rFonts w:ascii="Times New Roman" w:hAnsi="Times New Roman" w:eastAsia="宋体"/>
          <w:b w:val="0"/>
          <w:i w:val="0"/>
          <w:sz w:val="24"/>
        </w:rPr>
        <w:tab/>
      </w:r>
      <w:r>
        <w:rPr>
          <w:rFonts w:ascii="Times New Roman" w:hAnsi="Times New Roman" w:eastAsia="宋体"/>
          <w:b w:val="0"/>
          <w:i w:val="0"/>
          <w:sz w:val="24"/>
        </w:rPr>
        <w:t>1</w:t>
      </w:r>
    </w:p>
    <w:p w14:paraId="57BA8A87">
      <w:pPr>
        <w:pStyle w:val="15"/>
        <w:tabs>
          <w:tab w:val="right" w:leader="dot" w:pos="8278"/>
        </w:tabs>
        <w:spacing w:before="0" w:after="0" w:line="400" w:lineRule="exact"/>
        <w:ind w:left="0" w:leftChars="0" w:right="0" w:firstLineChars="0" w:firstLine="0"/>
        <w:jc w:val="left"/>
      </w:pPr>
      <w:r>
        <w:rPr>
          <w:rFonts w:ascii="Times New Roman" w:hAnsi="Times New Roman" w:eastAsia="宋体"/>
          <w:b w:val="0"/>
          <w:i w:val="0"/>
          <w:sz w:val="24"/>
        </w:rPr>
        <w:t>第四章　望</w:t>
      </w:r>
      <w:r>
        <w:rPr>
          <w:rFonts w:ascii="Times New Roman" w:hAnsi="Times New Roman" w:eastAsia="宋体"/>
          <w:b w:val="0"/>
          <w:i w:val="0"/>
          <w:sz w:val="24"/>
        </w:rPr>
        <w:tab/>
      </w:r>
      <w:r>
        <w:rPr>
          <w:rFonts w:ascii="Times New Roman" w:hAnsi="Times New Roman" w:eastAsia="宋体"/>
          <w:b w:val="0"/>
          <w:i w:val="0"/>
          <w:sz w:val="24"/>
        </w:rPr>
        <w:t>1</w:t>
      </w:r>
    </w:p>
    <w:p w14:paraId="3B5F6E4E">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第一节　主要结论</w:t>
      </w:r>
      <w:r>
        <w:rPr>
          <w:rFonts w:ascii="Times New Roman" w:hAnsi="Times New Roman" w:eastAsia="宋体"/>
          <w:b w:val="0"/>
          <w:i w:val="0"/>
          <w:sz w:val="24"/>
        </w:rPr>
        <w:tab/>
      </w:r>
      <w:r>
        <w:rPr>
          <w:rFonts w:ascii="Times New Roman" w:hAnsi="Times New Roman" w:eastAsia="宋体"/>
          <w:b w:val="0"/>
          <w:i w:val="0"/>
          <w:sz w:val="24"/>
        </w:rPr>
        <w:t>1</w:t>
      </w:r>
    </w:p>
    <w:p w14:paraId="7B0ACEAF">
      <w:pPr>
        <w:pStyle w:val="16"/>
        <w:tabs>
          <w:tab w:val="right" w:leader="dot" w:pos="8278"/>
        </w:tabs>
        <w:spacing w:before="0" w:after="0" w:line="400" w:lineRule="exact"/>
        <w:ind w:leftChars="100" w:right="0" w:firstLineChars="0" w:firstLine="0"/>
        <w:jc w:val="left"/>
      </w:pPr>
      <w:r>
        <w:rPr>
          <w:rFonts w:ascii="Times New Roman" w:hAnsi="Times New Roman" w:eastAsia="宋体"/>
          <w:b w:val="0"/>
          <w:i w:val="0"/>
          <w:sz w:val="24"/>
        </w:rPr>
        <w:t>第二节　望</w:t>
      </w:r>
      <w:r>
        <w:rPr>
          <w:rFonts w:ascii="Times New Roman" w:hAnsi="Times New Roman" w:eastAsia="宋体"/>
          <w:b w:val="0"/>
          <w:i w:val="0"/>
          <w:sz w:val="24"/>
        </w:rPr>
        <w:tab/>
      </w:r>
      <w:r>
        <w:rPr>
          <w:rFonts w:ascii="Times New Roman" w:hAnsi="Times New Roman" w:eastAsia="宋体"/>
          <w:b w:val="0"/>
          <w:i w:val="0"/>
          <w:sz w:val="24"/>
        </w:rPr>
        <w:t>1</w:t>
      </w:r>
    </w:p>
    <w:p w14:paraId="3E179185">
      <w:r>
        <w:fldChar w:fldCharType="end"/>
      </w:r>
    </w:p>
    <w:p w14:paraId="398DEED9">
      <w:pPr>
        <w:spacing w:before="0" w:after="0" w:line="400" w:lineRule="exact"/>
        <w:ind w:firstLine="480"/>
        <w:jc w:val="both"/>
        <w:rPr>
          <w:rFonts w:hint="eastAsia"/>
        </w:rPr>
      </w:pPr>
      <w:r>
        <w:rPr>
          <w:rFonts w:hint="eastAsia" w:ascii="Times New Roman" w:hAnsi="Times New Roman" w:eastAsia="宋体"/>
          <w:b w:val="0"/>
          <w:i w:val="0"/>
          <w:sz w:val="24"/>
        </w:rPr>
        <w:t>摘要</w:t>
      </w:r>
    </w:p>
    <w:p w14:paraId="3282C3B2">
      <w:pPr>
        <w:spacing w:before="0" w:after="0" w:line="400" w:lineRule="exact"/>
        <w:ind w:firstLine="480"/>
        <w:jc w:val="both"/>
        <w:rPr>
          <w:rFonts w:hint="eastAsia"/>
        </w:rPr>
      </w:pPr>
      <w:r>
        <w:rPr>
          <w:rFonts w:hint="eastAsia" w:ascii="Times New Roman" w:hAnsi="Times New Roman" w:eastAsia="宋体"/>
          <w:b w:val="0"/>
          <w:i w:val="0"/>
          <w:sz w:val="24"/>
        </w:rPr>
        <w:t>碳量子点(CQDs)凭借其可调的电子结构、优良的导电性和易耦合特性，在环境与能源催化领域展现出广阔的应用前景。然而，CQDs受限于活性位点匮乏、界面电荷转移能力不足以及反应路径单一等瓶颈，难以满足复杂催化反应的需求。针对上述挑战，本研究从CQDs的性能提升策略入手，分别采用有机分子接枝改性与单原子负载策略，构筑了两种高性能CQDs基复合材料，系统探究了其在光催化合成过氧化氢(H2O2)与电活化过一硫酸盐(PMS)降解双酚A(BPA)中的催化性能与机理，为提升CQDs基材料在复杂催化体系中的活性提供了新的设计思路，也为清洁能源合成与难降解污染物治理领域的高效催化剂开发奠定了理论基础。主要的研究内容及结果如下：</w:t>
      </w:r>
    </w:p>
    <w:p w14:paraId="6A464746">
      <w:pPr>
        <w:spacing w:before="0" w:after="0" w:line="400" w:lineRule="exact"/>
        <w:ind w:firstLine="480"/>
        <w:jc w:val="both"/>
        <w:rPr>
          <w:rFonts w:hint="eastAsia"/>
        </w:rPr>
      </w:pPr>
      <w:r>
        <w:rPr>
          <w:rFonts w:hint="eastAsia" w:ascii="Times New Roman" w:hAnsi="Times New Roman" w:eastAsia="宋体"/>
          <w:b w:val="0"/>
          <w:i w:val="0"/>
          <w:sz w:val="24"/>
        </w:rPr>
        <w:t>（1）为解决二电子氧还原反应中质子供体不足、动力学缓慢等问题，本研究通过席夫碱反应在CQDs表面接枝苯甲酰肼，成功构建了具有C=N-NH-C=O结构的集成催化微环境，该结构实现了对反应中间体的协同调控：C=O基团作为氧分子的特异性吸附位点，能够将氧的吸附构型转变为有利于O=O键活化的Pauling型吸附；而相邻的-NH-单元则充当质子供体，有效降低了PCET过程的能垒。得益于该结构，在无外加质子供体及无需额外曝气的温和条件下，苯甲酰肼改性CQDs(BD-CQDs)的H2O2产率达到1562 μmol g-1 h-1，为原始CQDs的3倍，且选择性高达92.5%，显著优于目前已报道的多数碳量子点光催化剂。</w:t>
      </w:r>
    </w:p>
    <w:p w14:paraId="5B4F3725">
      <w:pPr>
        <w:spacing w:before="0" w:after="0" w:line="400" w:lineRule="exact"/>
        <w:ind w:firstLine="480"/>
        <w:jc w:val="both"/>
        <w:rPr>
          <w:rFonts w:hint="eastAsia"/>
        </w:rPr>
      </w:pPr>
      <w:r>
        <w:rPr>
          <w:rFonts w:hint="eastAsia" w:ascii="Times New Roman" w:hAnsi="Times New Roman" w:eastAsia="宋体"/>
          <w:b w:val="0"/>
          <w:i w:val="0"/>
          <w:sz w:val="24"/>
        </w:rPr>
        <w:t>（2）本研究以碳氮化合物为基底，通过热解法制备了铁单原子催化剂(Fe/CQDs-SA)。CQDs的引入促进了Fe-O结构的形成，优化了铁原子的构型，显著抑制了金属原子的团聚。同时，CQDs增加了材料缺陷和电化学活性面积，加速了电子转移。电化学测试表明，在电流密度为40 mA cm⁻²的条件下，Fe/CQDs-SA可在250秒内实现对BPA 99.94%的高效去除，且在共存离子干扰及多次循环使用后仍保持优异稳定性。机理研究进一步揭示，该体系中不仅存在由PMS活化产生的硫酸根自由基(·SO42-)和羟基自由基(·OH)，CQDs边缘缺陷还能高效活化溶解氧生成非自由基单线态氧(1O2)，构建了自由基与非自由基协同作用的降解机制，显著提升了催化剂的抗环境干扰能力和降解效率。</w:t>
      </w:r>
    </w:p>
    <w:p w14:paraId="6CA0F8B7">
      <w:pPr>
        <w:rPr>
          <w:rFonts w:hint="eastAsia"/>
        </w:rPr>
      </w:pPr>
    </w:p>
    <w:p w14:paraId="7DFE7B7C">
      <w:pPr>
        <w:spacing w:before="0" w:after="0" w:line="400" w:lineRule="exact"/>
        <w:ind w:firstLine="480"/>
        <w:jc w:val="both"/>
        <w:rPr>
          <w:rFonts w:hint="eastAsia"/>
        </w:rPr>
        <w:sectPr>
          <w:headerReference r:id="rId7" w:type="default"/>
          <w:footerReference r:id="rId8"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关键词：碳量子点；表面改性；单原子催化剂；光催化产过氧化氢；电活化过一硫酸盐</w:t>
      </w:r>
    </w:p>
    <w:p w14:paraId="4C7B511F">
      <w:pPr>
        <w:spacing w:before="0" w:after="0" w:line="400" w:lineRule="exact"/>
        <w:ind w:left="0" w:leftChars="0" w:right="0" w:firstLineChars="0" w:firstLine="480"/>
        <w:jc w:val="both"/>
        <w:outlineLvl w:val="0"/>
        <w:rPr>
          <w:rFonts w:hint="eastAsia"/>
        </w:rPr>
      </w:pPr>
      <w:r>
        <w:rPr>
          <w:rFonts w:hint="eastAsia" w:ascii="Times New Roman" w:hAnsi="Times New Roman" w:eastAsia="宋体" w:cs="Arial"/>
          <w:b w:val="0"/>
          <w:i w:val="0"/>
          <w:sz w:val="24"/>
        </w:rPr>
        <w:t>第三章　Abstract</w:t>
      </w:r>
    </w:p>
    <w:p w14:paraId="36FA831F">
      <w:pPr>
        <w:spacing w:before="0" w:after="0" w:line="400" w:lineRule="exact"/>
        <w:ind w:firstLine="480"/>
        <w:jc w:val="both"/>
        <w:rPr>
          <w:rFonts w:hint="eastAsia"/>
        </w:rPr>
      </w:pPr>
      <w:r>
        <w:rPr>
          <w:rFonts w:hint="eastAsia" w:ascii="Times New Roman" w:hAnsi="Times New Roman" w:eastAsia="宋体"/>
          <w:b w:val="0"/>
          <w:i w:val="0"/>
          <w:sz w:val="24"/>
        </w:rPr>
        <w:t>Carbon quantum dots (CQDs) have shown great promise in environmental and energy catalysis due to their tunable electronic structure, excellent electrical conductivity, and ease of functionalization. However, their application in complex catalytic reactions is hindered by limitations such as scarce active sites, inadequate interfacial charge transfer, and restricted reaction pathways. To address these challenges, this study explores two performance-enhancing strategies for CQDs: organic molecular grafting and single-atom loading. These approaches were employed to construct two types of high-performance CQDs-based composite materials, which were systematically investigated for their catalytic performance in the photocatalytic synthesis of hydrogen peroxide (H2O2) and the electro-activation of peroxymonosulfate (PMS) for bisphenol A (BPA) degradation. Furthermore, the structure–activity relationships and underlying reaction mechanisms were thoroughly elucidated. The main research contents and findings are as follows:</w:t>
      </w:r>
    </w:p>
    <w:p w14:paraId="67C214AB">
      <w:pPr>
        <w:spacing w:before="0" w:after="0" w:line="400" w:lineRule="exact"/>
        <w:ind w:firstLine="480"/>
        <w:jc w:val="both"/>
        <w:rPr>
          <w:rFonts w:hint="eastAsia"/>
        </w:rPr>
      </w:pPr>
      <w:r>
        <w:rPr>
          <w:rFonts w:hint="eastAsia" w:ascii="Times New Roman" w:hAnsi="Times New Roman" w:eastAsia="宋体"/>
          <w:b w:val="0"/>
          <w:i w:val="0"/>
          <w:sz w:val="24"/>
        </w:rPr>
        <w:t>(1) To overcome issues such as insufficient proton donors and sluggish kinetics in the two-electron oxygen reduction reaction, benzoyl hydrazine was grafted onto the surface of CQDs via a Schiff base reaction, constructing an integrated catalytic microenvironment featuring a C=N-NH-C=O structure. Experimental and theoretical analyses reveal that this structure enables synergistic regulation of reaction intermediates: the C=O group serves as a specific adsorption site for oxygen molecules, facilitating a Pauling-type adsorption configuration conducive to O=O bond activation, while the adjacent -NH- unit functions as a proton donator, effectively lowering the energy barrier of the proton-coupled electron transfer (PCET) process. Benefiting from this structure, under mild conditions without external proton donors or additional aeration, the benzoyl hydrazine-modified CQDs (BD-CQDs) achieved an H2O2 production rate of 1562 μmol g-1 h-1, nearly three times that of pristine CQDs, with a selectivity of 92.5%, significantly outperforming most reported carbon dot-based photocatalysts.</w:t>
      </w:r>
    </w:p>
    <w:p w14:paraId="712116BC">
      <w:pPr>
        <w:spacing w:before="0" w:after="0" w:line="400" w:lineRule="exact"/>
        <w:ind w:firstLine="480"/>
        <w:jc w:val="both"/>
        <w:rPr>
          <w:rFonts w:hint="eastAsia"/>
        </w:rPr>
      </w:pPr>
      <w:r>
        <w:rPr>
          <w:rFonts w:hint="eastAsia" w:ascii="Times New Roman" w:hAnsi="Times New Roman" w:eastAsia="宋体"/>
          <w:b w:val="0"/>
          <w:i w:val="0"/>
          <w:sz w:val="24"/>
        </w:rPr>
        <w:t>(2) Using nitrogen-doped carbon supported by carbon dots as a substrate, an iron single-atom catalyst (Fe/CQDs-SA) was synthesized via pyrolysis. The incorporation of CQDs facilitated the formation of Fe–O structures, optimized the configuration of iron atoms, and effectively suppressed metal aggregation. Additionally, CQDs increased the density of structural defects and the electrochemical active surface area, thereby enhancing electron transfer. Electrochemical tests showed that at a current density of 40 mA cm⁻², Fe/CQDs-SA achieved 99.94% removal efficiency of BPA within 250 seconds, maintaining excellent stability even under interference from coexisting ions and after multiple cycles. Mechanistic studies further revealed that in addition to sulfate radicals (·SO42-) and hydroxyl radicals (·OH) generated from PMS activation, the edge defects of CQDs efficiently activated dissolved oxygen to produce singlet oxygen (1O2), establishing a synergistic degradation mechanism involving both radical and non-radical pathways. This dual mechanism significantly enhanced the catalyst's environmental robustness and degradation efficiency.</w:t>
      </w:r>
    </w:p>
    <w:p w14:paraId="0C156BE7">
      <w:pPr>
        <w:rPr>
          <w:rFonts w:hint="eastAsia"/>
        </w:rPr>
      </w:pPr>
    </w:p>
    <w:p w14:paraId="67E69795">
      <w:pPr>
        <w:spacing w:before="0" w:after="0" w:line="400" w:lineRule="exact"/>
        <w:ind w:firstLine="480"/>
        <w:jc w:val="both"/>
        <w:rPr>
          <w:rFonts w:hint="eastAsia"/>
        </w:rPr>
      </w:pPr>
      <w:r>
        <w:rPr>
          <w:rFonts w:hint="eastAsia" w:ascii="Times New Roman" w:hAnsi="Times New Roman" w:eastAsia="宋体"/>
          <w:b w:val="0"/>
          <w:i w:val="0"/>
          <w:sz w:val="24"/>
        </w:rPr>
        <w:t>Key Words: Carbon quantum dots; Surface modification; Single-atom catalysts; Photocatalytic hydrogen peroxide production; Electroactivation of peroxymonosulfate</w:t>
      </w:r>
    </w:p>
    <w:p w14:paraId="3321AF09">
      <w:pPr>
        <w:spacing w:before="0" w:after="0" w:line="400" w:lineRule="exact"/>
        <w:ind w:firstLine="480"/>
        <w:jc w:val="both"/>
        <w:rPr>
          <w:rFonts w:hint="eastAsia"/>
        </w:rPr>
        <w:sectPr>
          <w:headerReference r:id="rId9" w:type="default"/>
          <w:footerReference r:id="rId10" w:type="default"/>
          <w:pgSz w:w="11906" w:h="16838"/>
          <w:pgMar w:top="2154" w:right="1814" w:bottom="2154" w:left="1814" w:header="1701" w:footer="1701" w:gutter="0"/>
          <w:cols w:space="425" w:num="1"/>
          <w:docGrid w:type="lines" w:linePitch="312" w:charSpace="0"/>
        </w:sectPr>
      </w:pPr>
      <w:r>
        <w:rPr>
          <w:rFonts w:hint="eastAsia" w:ascii="Times New Roman" w:hAnsi="Times New Roman" w:eastAsia="宋体"/>
          <w:b w:val="0"/>
          <w:i w:val="0"/>
          <w:sz w:val="24"/>
        </w:rPr>
        <w:t>\</w:t>
      </w:r>
    </w:p>
    <w:p w14:paraId="777AF0C0">
      <w:pPr>
        <w:pStyle w:val="2"/>
        <w:spacing w:before="480" w:after="360" w:line="560" w:lineRule="exact"/>
        <w:ind w:firstLine="0"/>
        <w:jc w:val="center"/>
        <w:outlineLvl w:val="0"/>
      </w:pPr>
      <w:r>
        <w:rPr>
          <w:rFonts w:ascii="Times New Roman" w:hAnsi="Times New Roman" w:eastAsia="黑体"/>
          <w:b/>
          <w:i w:val="0"/>
          <w:sz w:val="32"/>
        </w:rPr>
        <w:t>第四章　绪论</w:t>
      </w:r>
    </w:p>
    <w:p w14:paraId="69847D00">
      <w:pPr>
        <w:pStyle w:val="3"/>
        <w:spacing w:before="240" w:after="240" w:line="480" w:lineRule="exact"/>
        <w:ind w:firstLine="0"/>
        <w:jc w:val="left"/>
        <w:outlineLvl w:val="1"/>
      </w:pPr>
      <w:r>
        <w:rPr>
          <w:rFonts w:ascii="Times New Roman" w:hAnsi="Times New Roman" w:eastAsia="黑体"/>
          <w:b/>
          <w:i w:val="0"/>
          <w:sz w:val="28"/>
        </w:rPr>
        <w:t>4.1　碳量子点概述</w:t>
      </w:r>
    </w:p>
    <w:p w14:paraId="5354A6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2023年，诺贝尔化学奖授予量子点的发现者，标志着该类纳米材料在科学界的重要地位。然而，传统半导体量子点(QDs)仍面临长期环境毒性、生物相容性差及难降解等问题</w:t>
      </w:r>
      <w:r>
        <w:rPr>
          <w:rFonts w:hint="eastAsia" w:ascii="Times New Roman" w:hAnsi="Times New Roman" w:eastAsia="宋体" w:cs="Times New Roman"/>
          <w:b w:val="0"/>
          <w:i w:val="0"/>
          <w:sz w:val="24"/>
          <w:vertAlign w:val="superscript"/>
        </w:rPr>
        <w:t>[1]</w:t>
      </w:r>
      <w:r>
        <w:rPr>
          <w:rFonts w:hint="eastAsia" w:ascii="Times New Roman" w:hAnsi="Times New Roman" w:eastAsia="宋体" w:cs="Times New Roman"/>
          <w:b w:val="0"/>
          <w:i w:val="0"/>
          <w:sz w:val="24"/>
        </w:rPr>
        <w:t>。在此背景下，碳基荧光纳米材料因其更好的生物相容性与环境友好性而受到关注。2004年，Xu等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首次从电弧法制备的单壁碳纳米管中分离出具有明亮荧光的碳纳米颗粒；两年后，Sun等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将此类荧光碳纳米颗粒正式命名为碳点(CDs)。</w:t>
      </w:r>
      <w:r>
        <w:rPr>
          <w:rFonts w:hint="eastAsia" w:ascii="Times New Roman" w:hAnsi="Times New Roman" w:eastAsia="宋体" w:cs="Times New Roman"/>
          <w:b w:val="0"/>
          <w:i w:val="0"/>
          <w:sz w:val="24"/>
        </w:rPr>
        <w:t>CDs</w:t>
      </w:r>
      <w:r>
        <w:rPr>
          <w:rFonts w:hint="eastAsia" w:ascii="Times New Roman" w:hAnsi="Times New Roman" w:eastAsia="宋体" w:cs="Times New Roman"/>
          <w:b w:val="0"/>
          <w:i w:val="0"/>
          <w:sz w:val="24"/>
        </w:rPr>
        <w:t>凭借其低毒性、良好的水溶性、可调的发光特性以及出色的光稳定性，迅速被视为QDs的理想绿色替代品，为纳米材料的可持续发展提供了新方向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125A6CD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随着研究的深入，碳点的家族日益庞大，其内部的结构差异也逐渐明晰。研究人员根据碳原子的杂化状态及核壳结构，将碳点主要分为三类：石墨烯量子点(GQDs)、碳量子点(CQDs)和碳化聚合物点(CPDs)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。其中，GQDs具有高结晶度石墨烯片层结构，其碳核以</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杂化为主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则通常拥有一个由交联聚合物链包裹的、</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2</w:t>
      </w:r>
      <w:r>
        <w:rPr>
          <w:rFonts w:hint="eastAsia" w:ascii="Times New Roman" w:hAnsi="Times New Roman" w:eastAsia="宋体" w:cs="Times New Roman"/>
          <w:b w:val="0"/>
          <w:i w:val="0"/>
          <w:sz w:val="24"/>
        </w:rPr>
        <w:t>/sp</w:t>
      </w:r>
      <w:r>
        <w:rPr>
          <w:rFonts w:hint="eastAsia" w:ascii="Times New Roman" w:hAnsi="Times New Roman" w:eastAsia="宋体" w:cs="Times New Roman"/>
          <w:b w:val="0"/>
          <w:i w:val="0"/>
          <w:sz w:val="24"/>
          <w:vertAlign w:val="superscript"/>
        </w:rPr>
        <w:t>3</w:t>
      </w:r>
      <w:r>
        <w:rPr>
          <w:rFonts w:hint="eastAsia" w:ascii="Times New Roman" w:hAnsi="Times New Roman" w:eastAsia="宋体" w:cs="Times New Roman"/>
          <w:b w:val="0"/>
          <w:i w:val="0"/>
          <w:sz w:val="24"/>
        </w:rPr>
        <w:t>碳混合的核壳结构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。而CQDs通常由多层类石墨碳构成，结晶度介于GQDs与</w:t>
      </w:r>
      <w:r>
        <w:rPr>
          <w:rFonts w:hint="eastAsia" w:ascii="Times New Roman" w:hAnsi="Times New Roman" w:eastAsia="宋体" w:cs="Times New Roman"/>
          <w:b w:val="0"/>
          <w:i w:val="0"/>
          <w:sz w:val="24"/>
        </w:rPr>
        <w:t>CPDs</w:t>
      </w:r>
      <w:r>
        <w:rPr>
          <w:rFonts w:hint="eastAsia" w:ascii="Times New Roman" w:hAnsi="Times New Roman" w:eastAsia="宋体" w:cs="Times New Roman"/>
          <w:b w:val="0"/>
          <w:i w:val="0"/>
          <w:sz w:val="24"/>
        </w:rPr>
        <w:t>之间，表面官能团丰富，这种结构特征使其在保持碳材料良好稳定性的同时，具备了高度的化学可修饰性和功能可调性</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402BB7B3">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CQDs是典型的零维纳米材料，其粒径通常小于10 nm，形貌近似球形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。这种超小的尺寸赋予了其显著的量子限域效应和边缘效应，使其能够实现高效的光吸收和发光，并实现快速的电子转移</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。此外，CQDs内部通常含有更多的非晶区域和结构缺陷，表面具有高密度的羧基、羟基、羰基、氨基等官能团</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。这些官能团不仅赋予了CQDs优异的水溶性，更重要的是，它们成为了对CQDs进行化学修饰与功能化的活性位点，从而能够精准调控其性质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 xml:space="preserve">, </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。例如，通过表面工程引入特定基团，可以显著改变CQDs的能带结构</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、电子传输效率</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及对氧气</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、过硫酸盐</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等特定分子的吸附与活化能力。</w:t>
      </w:r>
    </w:p>
    <w:p w14:paraId="2C0FB8AE">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近年来，CQDs的综合性能优势使其成为一种极具前景的多功能纳米材料。在光学特性方面，CQDs具有从紫外至可见光区的宽谱吸收能力，荧光发射可调，并具备上转换发光及电化学发光等性质，使其在生物成像</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、传感</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、荧光分析检测</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等领域展现出重要应用潜力。此外，CQDs具有良好的导电性、光化学稳定性及生物相容性，且其独特的电子结构使其能够同时扮演电子给体与受体的角色</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，结合其高效的电荷转移能力</w:t>
      </w:r>
      <w:r>
        <w:rPr>
          <w:rFonts w:hint="eastAsia" w:ascii="Times New Roman" w:hAnsi="Times New Roman" w:eastAsia="宋体" w:cs="Times New Roman"/>
          <w:b w:val="0"/>
          <w:i w:val="0"/>
          <w:sz w:val="24"/>
          <w:vertAlign w:val="superscript"/>
        </w:rPr>
        <w:t>[14]</w:t>
      </w:r>
      <w:r>
        <w:rPr>
          <w:rFonts w:hint="eastAsia" w:ascii="Times New Roman" w:hAnsi="Times New Roman" w:eastAsia="宋体" w:cs="Times New Roman"/>
          <w:b w:val="0"/>
          <w:i w:val="0"/>
          <w:sz w:val="24"/>
        </w:rPr>
        <w:t>，CQDs在光催化与电催化领域展示出巨大的应用潜力，为应对能源与环境领域的挑战提供了新的技术途径。</w:t>
      </w:r>
    </w:p>
    <w:p w14:paraId="56FF500C">
      <w:pPr>
        <w:pStyle w:val="3"/>
        <w:spacing w:before="240" w:after="240" w:line="480" w:lineRule="exact"/>
        <w:ind w:firstLine="0"/>
        <w:jc w:val="left"/>
        <w:outlineLvl w:val="1"/>
      </w:pPr>
      <w:r>
        <w:rPr>
          <w:rFonts w:ascii="Times New Roman" w:hAnsi="Times New Roman" w:eastAsia="黑体"/>
          <w:b/>
          <w:i w:val="0"/>
          <w:sz w:val="28"/>
        </w:rPr>
        <w:t>4.2　碳点的合成方法</w:t>
      </w:r>
    </w:p>
    <w:p w14:paraId="6E01B118">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2006年，Sun等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通过激光刻蚀碳靶首次合成CQDs，并通过有机分子对其进行表面钝化，实现了其在400 nm的激发波长下发出蓝色、绿色和红色的荧光。自此以后，科学界在CQDs的合成领域投入巨大努力，经过近二十年的发展，CQDs的制备技术已形成较为成熟的体系，主要划分为“自上而下”和“自下而上”两大技术路线</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w:t>
      </w:r>
    </w:p>
    <w:p w14:paraId="56414754">
      <w:pPr>
        <w:spacing w:before="0" w:after="0" w:line="400" w:lineRule="exact"/>
        <w:ind w:left="0" w:leftChars="0" w:right="0" w:firstLineChars="200" w:firstLine="480"/>
        <w:jc w:val="both"/>
        <w:rPr>
          <w:rFonts w:hint="eastAsia"/>
        </w:rPr>
      </w:pPr>
      <w:r>
        <w:rPr>
          <w:rFonts w:hint="eastAsia" w:ascii="Times New Roman" w:hAnsi="Times New Roman" w:eastAsia="宋体" w:cs="Times New Roman"/>
          <w:b w:val="0"/>
          <w:i w:val="0"/>
          <w:sz w:val="24"/>
        </w:rPr>
        <w:t>“自上而下”法以石墨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、碳纳米管</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、炭黑</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等大尺寸的碳材料为前驱体，通过物理或化学方法，剥离、破碎成纳米尺度的碳点。典型方法包括电弧放电法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、激光烧蚀法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_RefNum_RefEntry_24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26</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、化学氧化法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等。其中，最常用的方法是刻蚀剥离，Meng等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_RefNum_RefEntry_26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28</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在常温常压下，利用双氧水和甲酸混合溶液对煤沥青进行刻蚀，CQDs的收率可达49%。该方法制备原料来源广泛、制备流程相对简单，无需复杂的分子设计，可以在短时间内实现CQDs的宏量制备。但是，“自上而下”法制备的CQDs尺寸难以控制，且制备过程对设备要求高、能耗大，甚至可能产生二次污染</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_RefNum_RefEntry_27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29</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。此外，所生成的CQDs表面化学状态高度依赖于前驱体本身和剧烈的反应条件，其官能团种类和数量难以实现精准的控制，进一步限制了其拓展应用。</w:t>
      </w:r>
    </w:p>
    <w:p w14:paraId="426FC1B9">
      <w:pPr>
        <w:spacing w:before="0" w:after="0" w:line="400" w:lineRule="exact"/>
        <w:ind w:firstLine="480"/>
        <w:jc w:val="both"/>
      </w:pPr>
      <w:r>
        <w:rPr>
          <w:rFonts w:hint="eastAsia" w:ascii="Times New Roman" w:hAnsi="Times New Roman" w:eastAsia="宋体" w:cs="Times New Roman"/>
          <w:b w:val="0"/>
          <w:i w:val="0"/>
          <w:sz w:val="24"/>
        </w:rPr>
        <w:t>“自下而上”法则遵循相反的构建逻辑，以前驱体分子为起点，通过化学反应自组装构建CQDs。其前驱体主要包括两类：一类是柠檬酸</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_RefNum_RefEntry_15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17</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、葡萄糖</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、乙二胺</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_RefNum_RefEntry_29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31</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等结构明确的小分子有机物；另一类是结构相对简单的生物质</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_RefNum_RefEntry_30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32</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。通过水热/溶剂热法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_RefNum_RefEntry_28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30</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、微波辅助法</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_RefNum_RefEntry_31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33</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等反应，前驱体经历脱水、聚合、碳化等一系列化学反应，自组装构筑成CQDs</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_RefNum_RefEntry_32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34</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该方法可以实现对碳点的精准设计，通过选择前驱体分子的结构和配比，并精确调控温度、时间等反应条件，对最终CQDs的核层石墨化程度、尺寸、特别是表面官能团的类型与密度进行定向设计，从而实现对材料光学性质、催化性能等目标的设计。例如，Shen等</w:t>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vertAlign w:val="superscript"/>
        </w:rPr>
        <w:fldChar w:fldCharType="begin"/>
      </w:r>
      <w:r>
        <w:rPr>
          <w:rFonts w:hint="eastAsia" w:ascii="Times New Roman" w:hAnsi="Times New Roman" w:eastAsia="宋体" w:cs="Times New Roman"/>
          <w:b w:val="0"/>
          <w:i w:val="0"/>
          <w:sz w:val="24"/>
          <w:vertAlign w:val="superscript"/>
        </w:rPr>
        <w:instrText xml:space="preserve"> REF _RefNum_RefEntry_33 \h \* CHARFORMAT \* MERGEFORMAT </w:instrText>
      </w:r>
      <w:r>
        <w:rPr>
          <w:rFonts w:hint="eastAsia" w:ascii="Times New Roman" w:hAnsi="Times New Roman" w:eastAsia="宋体" w:cs="Times New Roman"/>
          <w:b w:val="0"/>
          <w:i w:val="0"/>
          <w:sz w:val="24"/>
          <w:vertAlign w:val="superscript"/>
        </w:rPr>
        <w:fldChar w:fldCharType="separate"/>
      </w:r>
      <w:r>
        <w:rPr>
          <w:rFonts w:hint="eastAsia" w:ascii="Times New Roman" w:hAnsi="Times New Roman" w:eastAsia="宋体" w:cs="Times New Roman"/>
          <w:b w:val="0"/>
          <w:i w:val="0"/>
          <w:sz w:val="24"/>
          <w:vertAlign w:val="superscript"/>
        </w:rPr>
        <w:t>35</w:t>
      </w:r>
      <w:r>
        <w:rPr>
          <w:rFonts w:hint="eastAsia" w:ascii="Times New Roman" w:hAnsi="Times New Roman" w:eastAsia="宋体" w:cs="Times New Roman"/>
          <w:b w:val="0"/>
          <w:i w:val="0"/>
          <w:sz w:val="24"/>
          <w:vertAlign w:val="superscript"/>
        </w:rPr>
        <w:fldChar w:fldCharType="end"/>
      </w:r>
      <w:r>
        <w:rPr>
          <w:rFonts w:hint="eastAsia" w:ascii="Times New Roman" w:hAnsi="Times New Roman" w:eastAsia="宋体" w:cs="Times New Roman"/>
          <w:b w:val="0"/>
          <w:i w:val="0"/>
          <w:sz w:val="24"/>
          <w:vertAlign w:val="superscript"/>
        </w:rPr>
        <w:t>]</w:t>
      </w:r>
      <w:r>
        <w:rPr>
          <w:rFonts w:hint="eastAsia" w:ascii="Times New Roman" w:hAnsi="Times New Roman" w:eastAsia="宋体" w:cs="Times New Roman"/>
          <w:b w:val="0"/>
          <w:i w:val="0"/>
          <w:sz w:val="24"/>
        </w:rPr>
        <w:t>通过调节</w:t>
      </w:r>
      <w:bookmarkStart w:id="0" w:name="_GoBack"/>
      <w:bookmarkEnd w:id="0"/>
    </w:p>
    <w:sectPr>
      <w:headerReference w:type="default" r:id="rId14"/>
      <w:footerReference w:type="default" r:id="rId15"/>
      <w:pgSz w:w="11906" w:h="16838"/>
      <w:pgMar w:top="2154" w:right="1814" w:bottom="2154" w:left="1814" w:header="1701" w:footer="170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46042">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44D80">
    <w:pPr>
      <w:jc w:val="center"/>
    </w:pPr>
    <w:r>
      <w:fldChar w:fldCharType="begin"/>
    </w:r>
    <w:r>
      <w:instrText xml:space="preserve"> PAGE </w:instrText>
    </w:r>
    <w:r>
      <w:fldChar w:fldCharType="separate"/>
    </w:r>
    <w:r>
      <w:t>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642DE">
    <w:pPr>
      <w:jc w:val="center"/>
    </w:pPr>
    <w:r>
      <w:fldChar w:fldCharType="begin"/>
    </w:r>
    <w:r>
      <w:instrText xml:space="preserve"> PAGE </w:instrText>
    </w:r>
    <w:r>
      <w:fldChar w:fldCharType="separate"/>
    </w:r>
    <w:r>
      <w:t> </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27E6">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597D5">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949FE">
    <w:pPr>
      <w:pBdr>
        <w:bottom w:val="single" w:color="auto" w:sz="4" w:space="1"/>
      </w:pBdr>
      <w:spacing w:before="0" w:after="0" w:line="400" w:lineRule="exact"/>
      <w:ind w:left="0" w:leftChars="0" w:right="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uto"/>
      </w:pBd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F4542"/>
    <w:multiLevelType w:val="multilevel"/>
    <w:tmpl w:val="AA6F4542"/>
    <w:lvl w:ilvl="0" w:tentative="0">
      <w:start w:val="1"/>
      <w:numFmt w:val="decimal"/>
      <w:pStyle w:val="2"/>
      <w:lvlText w:val="%1"/>
      <w:lvlJc w:val="left"/>
      <w:pPr>
        <w:ind w:left="432" w:hanging="432"/>
      </w:pPr>
      <w:rPr>
        <w:rFonts w:hint="default" w:ascii="Times New Roman" w:hAnsi="Times New Roman"/>
      </w:rPr>
    </w:lvl>
    <w:lvl w:ilvl="1" w:tentative="0">
      <w:start w:val="1"/>
      <w:numFmt w:val="decimal"/>
      <w:pStyle w:val="3"/>
      <w:lvlText w:val="%1.%2"/>
      <w:lvlJc w:val="left"/>
      <w:pPr>
        <w:ind w:left="576" w:hanging="576"/>
      </w:pPr>
      <w:rPr>
        <w:rFonts w:hint="default" w:ascii="Times New Roman" w:hAnsi="Times New Roman"/>
      </w:rPr>
    </w:lvl>
    <w:lvl w:ilvl="2" w:tentative="0">
      <w:start w:val="1"/>
      <w:numFmt w:val="decimal"/>
      <w:pStyle w:val="4"/>
      <w:lvlText w:val="%1.%2.%3"/>
      <w:lvlJc w:val="left"/>
      <w:pPr>
        <w:ind w:left="840" w:hanging="720"/>
      </w:pPr>
      <w:rPr>
        <w:rFonts w:hint="default" w:ascii="Times New Roman" w:hAnsi="Times New Roman"/>
      </w:rPr>
    </w:lvl>
    <w:lvl w:ilvl="3" w:tentative="0">
      <w:start w:val="1"/>
      <w:numFmt w:val="decimal"/>
      <w:pStyle w:val="5"/>
      <w:lvlText w:val="%1.%2.%3.%4"/>
      <w:lvlJc w:val="left"/>
      <w:pPr>
        <w:ind w:left="864" w:hanging="864"/>
      </w:pPr>
      <w:rPr>
        <w:rFonts w:hint="default" w:ascii="Times New Roman" w:hAnsi="Times New Roman"/>
      </w:rPr>
    </w:lvl>
    <w:lvl w:ilvl="4" w:tentative="0">
      <w:start w:val="1"/>
      <w:numFmt w:val="decimal"/>
      <w:pStyle w:val="6"/>
      <w:lvlText w:val="%1.%2.%3.%4.%5"/>
      <w:lvlJc w:val="left"/>
      <w:pPr>
        <w:ind w:left="1008" w:hanging="1008"/>
      </w:pPr>
      <w:rPr>
        <w:rFonts w:hint="default" w:ascii="Times New Roman" w:hAnsi="Times New Roman"/>
      </w:rPr>
    </w:lvl>
    <w:lvl w:ilvl="5" w:tentative="0">
      <w:start w:val="1"/>
      <w:numFmt w:val="decimal"/>
      <w:pStyle w:val="7"/>
      <w:lvlText w:val="%1.%2.%3.%4.%5.%6"/>
      <w:lvlJc w:val="left"/>
      <w:pPr>
        <w:ind w:left="1152" w:hanging="1152"/>
      </w:pPr>
      <w:rPr>
        <w:rFonts w:hint="default" w:eastAsia="Times New Roman"/>
      </w:rPr>
    </w:lvl>
    <w:lvl w:ilvl="6" w:tentative="0">
      <w:start w:val="1"/>
      <w:numFmt w:val="decimal"/>
      <w:pStyle w:val="8"/>
      <w:lvlText w:val="%1.%2.%3.%4.%5.%6.%7"/>
      <w:lvlJc w:val="left"/>
      <w:pPr>
        <w:ind w:left="1296" w:hanging="1296"/>
      </w:pPr>
      <w:rPr>
        <w:rFonts w:hint="default" w:ascii="Times New Roman" w:hAnsi="Times New Roman"/>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87D01"/>
    <w:rsid w:val="0AC147CE"/>
    <w:rsid w:val="16487D01"/>
    <w:rsid w:val="16C26C27"/>
    <w:rsid w:val="1C4B3B00"/>
    <w:rsid w:val="29A80DAA"/>
    <w:rsid w:val="30224895"/>
    <w:rsid w:val="484300FA"/>
    <w:rsid w:val="4DEB61A9"/>
    <w:rsid w:val="504F44BA"/>
    <w:rsid w:val="5DEF3829"/>
    <w:rsid w:val="6D80203B"/>
    <w:rsid w:val="6DE73920"/>
    <w:rsid w:val="70E47485"/>
    <w:rsid w:val="74856F23"/>
    <w:rsid w:val="75321CE2"/>
    <w:rsid w:val="75EC740C"/>
    <w:rsid w:val="790C59D6"/>
    <w:rsid w:val="7A684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left="0" w:leftChars="0" w:right="0" w:firstLineChars="200"/>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firstLineChars="0"/>
      <w:jc w:val="left"/>
      <w:outlineLvl w:val="0"/>
    </w:pPr>
    <w:rPr>
      <w:b/>
      <w:kern w:val="44"/>
      <w:sz w:val="32"/>
      <w:rFonts w:ascii="Times New Roman" w:hAnsi="Times New Roman" w:cs="Times New Roman" w:eastAsia="黑体"/>
      <w:szCs w:val="32"/>
    </w:rPr>
  </w:style>
  <w:style w:type="paragraph" w:styleId="3">
    <w:name w:val="heading 2"/>
    <w:basedOn w:val="1"/>
    <w:next w:val="1"/>
    <w:semiHidden/>
    <w:unhideWhenUsed/>
    <w:qFormat/>
    <w:uiPriority w:val="0"/>
    <w:pPr>
      <w:keepNext/>
      <w:keepLines/>
      <w:numPr>
        <w:ilvl w:val="1"/>
        <w:numId w:val="1"/>
      </w:numPr>
      <w:tabs>
        <w:tab w:val="left" w:pos="0"/>
      </w:tabs>
      <w:spacing w:beforeLines="0" w:beforeAutospacing="0" w:afterLines="0" w:afterAutospacing="0" w:line="360" w:lineRule="auto"/>
      <w:ind w:left="576" w:hanging="576" w:firstLineChars="0"/>
      <w:outlineLvl w:val="1"/>
    </w:pPr>
    <w:rPr>
      <w:rFonts w:ascii="Times New Roman" w:hAnsi="Times New Roman" w:eastAsia="黑体" w:cs="Times New Roman"/>
      <w:b/>
      <w:sz w:val="28"/>
      <w:szCs w:val="28"/>
    </w:rPr>
  </w:style>
  <w:style w:type="paragraph" w:styleId="4">
    <w:name w:val="heading 3"/>
    <w:basedOn w:val="1"/>
    <w:next w:val="1"/>
    <w:semiHidden/>
    <w:unhideWhenUsed/>
    <w:qFormat/>
    <w:uiPriority w:val="0"/>
    <w:pPr>
      <w:keepNext/>
      <w:keepLines/>
      <w:numPr>
        <w:ilvl w:val="2"/>
        <w:numId w:val="1"/>
      </w:numPr>
      <w:spacing w:beforeLines="0" w:beforeAutospacing="0" w:afterLines="0" w:afterAutospacing="0" w:line="360" w:lineRule="auto"/>
      <w:ind w:left="720" w:hanging="720" w:firstLineChars="0"/>
      <w:jc w:val="left"/>
      <w:outlineLvl w:val="2"/>
    </w:pPr>
    <w:rPr>
      <w:rFonts w:ascii="Times New Roman" w:hAnsi="Times New Roman" w:eastAsia="黑体" w:cs="Times New Roman"/>
      <w:b/>
      <w:sz w:val="24"/>
      <w:szCs w:val="24"/>
    </w:rPr>
  </w:style>
  <w:style w:type="paragraph" w:styleId="5">
    <w:name w:val="heading 4"/>
    <w:basedOn w:val="1"/>
    <w:next w:val="1"/>
    <w:semiHidden/>
    <w:unhideWhenUsed/>
    <w:qFormat/>
    <w:uiPriority w:val="0"/>
    <w:pPr>
      <w:keepNext/>
      <w:keepLines/>
      <w:numPr>
        <w:ilvl w:val="3"/>
        <w:numId w:val="1"/>
      </w:numPr>
      <w:spacing w:beforeLines="0" w:beforeAutospacing="0" w:afterLines="0" w:afterAutospacing="0" w:line="360" w:lineRule="auto"/>
      <w:ind w:left="864" w:hanging="864" w:firstLineChars="0"/>
      <w:jc w:val="left"/>
      <w:outlineLvl w:val="3"/>
    </w:pPr>
    <w:rPr>
      <w:rFonts w:ascii="Times New Roman" w:hAnsi="Times New Roman" w:eastAsia="黑体" w:cs="Times New Roman"/>
      <w:b/>
      <w:sz w:val="24"/>
      <w:szCs w:val="24"/>
    </w:rPr>
  </w:style>
  <w:style w:type="paragraph" w:styleId="6">
    <w:name w:val="heading 5"/>
    <w:basedOn w:val="1"/>
    <w:next w:val="1"/>
    <w:semiHidden/>
    <w:unhideWhenUsed/>
    <w:qFormat/>
    <w:uiPriority w:val="0"/>
    <w:pPr>
      <w:keepNext/>
      <w:keepLines/>
      <w:numPr>
        <w:ilvl w:val="4"/>
        <w:numId w:val="1"/>
      </w:numPr>
      <w:spacing w:beforeLines="0" w:beforeAutospacing="0" w:afterLines="0" w:afterAutospacing="0" w:line="360" w:lineRule="auto"/>
      <w:ind w:left="1008" w:hanging="1008" w:firstLineChars="0"/>
      <w:outlineLvl w:val="4"/>
    </w:pPr>
    <w:rPr>
      <w:rFonts w:ascii="Times New Roman" w:hAnsi="Times New Roman" w:cs="Times New Roman" w:eastAsia="黑体"/>
      <w:b/>
      <w:sz w:val="24"/>
      <w:szCs w:val="24"/>
    </w:rPr>
  </w:style>
  <w:style w:type="paragraph" w:styleId="7">
    <w:name w:val="heading 6"/>
    <w:basedOn w:val="1"/>
    <w:next w:val="1"/>
    <w:semiHidden/>
    <w:unhideWhenUsed/>
    <w:qFormat/>
    <w:uiPriority w:val="0"/>
    <w:pPr>
      <w:keepNext/>
      <w:keepLines/>
      <w:numPr>
        <w:ilvl w:val="5"/>
        <w:numId w:val="1"/>
      </w:numPr>
      <w:spacing w:beforeLines="0" w:beforeAutospacing="0" w:afterLines="0" w:afterAutospacing="0" w:line="360" w:lineRule="auto"/>
      <w:ind w:left="1152" w:hanging="1152" w:firstLineChars="0"/>
      <w:outlineLvl w:val="5"/>
    </w:pPr>
    <w:rPr>
      <w:rFonts w:ascii="Times New Roman" w:hAnsi="Times New Roman" w:eastAsia="黑体" w:cs="Times New Roman"/>
      <w:b/>
      <w:sz w:val="24"/>
      <w:szCs w:val="24"/>
    </w:rPr>
  </w:style>
  <w:style w:type="paragraph" w:styleId="8">
    <w:name w:val="heading 7"/>
    <w:basedOn w:val="1"/>
    <w:next w:val="1"/>
    <w:semiHidden/>
    <w:unhideWhenUsed/>
    <w:qFormat/>
    <w:uiPriority w:val="0"/>
    <w:pPr>
      <w:keepNext/>
      <w:keepLines/>
      <w:numPr>
        <w:ilvl w:val="6"/>
        <w:numId w:val="1"/>
      </w:numPr>
      <w:spacing w:beforeLines="0" w:beforeAutospacing="0" w:afterLines="0" w:afterAutospacing="0" w:line="360" w:lineRule="auto"/>
      <w:ind w:left="1296" w:hanging="1296" w:firstLineChars="0"/>
      <w:outlineLvl w:val="6"/>
    </w:pPr>
    <w:rPr>
      <w:rFonts w:ascii="Times New Roman" w:hAnsi="Times New Roman" w:cs="Times New Roman" w:eastAsia="黑体"/>
      <w:b/>
      <w:sz w:val="24"/>
      <w:szCs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Times New Roman" w:hAnsi="Times New Roman" w:eastAsia="黑体" w:cs="Times New Roman"/>
      <w:sz w:val="24"/>
      <w:szCs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3">
    <w:name w:val="footnote reference"/>
    <w:basedOn w:val="12"/>
    <w:qFormat/>
    <w:uiPriority w:val="0"/>
    <w:rPr>
      <w:rFonts w:ascii="Times New Roman" w:hAnsi="Times New Roman" w:eastAsia="宋体"/>
      <w:sz w:val="21"/>
      <w:szCs w:val="21"/>
      <w:vertAlign w:val="superscript"/>
    </w:rPr>
  </w:style>
  <w:style w:type="paragraph" w:customStyle="1" w:styleId="14">
    <w:name w:val="TOC Heading"/>
    <w:basedOn w:val="1"/>
    <w:qFormat/>
    <w:uiPriority w:val="0"/>
    <w:pPr>
      <w:spacing w:before="480" w:after="360" w:line="240" w:lineRule="auto"/>
      <w:ind w:left="0" w:leftChars="0" w:right="0" w:firstLine="0" w:firstLineChars="0"/>
      <w:jc w:val="center"/>
      <w:outlineLvl w:val="9"/>
    </w:pPr>
    <w:rPr>
      <w:rFonts w:ascii="Times New Roman" w:hAnsi="Times New Roman" w:eastAsia="黑体"/>
      <w:b/>
      <w:sz w:val="32"/>
    </w:rPr>
  </w:style>
  <w:style w:type="paragraph" w:customStyle="1" w:styleId="15">
    <w:name w:val="TOC 1"/>
    <w:qFormat/>
    <w:uiPriority w:val="0"/>
    <w:pPr>
      <w:spacing w:before="120" w:after="0" w:line="240" w:lineRule="auto"/>
      <w:ind w:left="0" w:leftChars="0" w:right="0" w:firstLine="0" w:firstLineChars="0"/>
      <w:jc w:val="both"/>
    </w:pPr>
    <w:rPr>
      <w:rFonts w:ascii="Times New Roman" w:hAnsi="Times New Roman" w:eastAsia="宋体" w:cstheme="minorBidi"/>
      <w:sz w:val="28"/>
    </w:rPr>
  </w:style>
  <w:style w:type="paragraph" w:customStyle="1" w:styleId="16">
    <w:name w:val="TOC 2"/>
    <w:qFormat/>
    <w:uiPriority w:val="0"/>
    <w:pPr>
      <w:spacing w:before="120" w:after="0" w:line="240" w:lineRule="auto"/>
      <w:ind w:leftChars="100" w:right="0" w:firstLine="0" w:firstLineChars="0"/>
      <w:jc w:val="both"/>
    </w:pPr>
    <w:rPr>
      <w:rFonts w:ascii="Times New Roman" w:hAnsi="Times New Roman" w:eastAsia="宋体" w:cstheme="minorBidi"/>
      <w:sz w:val="24"/>
    </w:rPr>
  </w:style>
  <w:style w:type="paragraph" w:customStyle="1" w:styleId="17">
    <w:name w:val="TOC 3"/>
    <w:uiPriority w:val="0"/>
    <w:pPr>
      <w:spacing w:before="120" w:after="0" w:line="240" w:lineRule="auto"/>
      <w:ind w:leftChars="200" w:right="0" w:firstLine="0" w:firstLineChars="0"/>
      <w:jc w:val="both"/>
    </w:pPr>
    <w:rPr>
      <w:rFonts w:ascii="Times New Roman" w:hAnsi="Times New Roman" w:eastAsia="宋体" w:cstheme="minorBidi"/>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4" Type="http://schemas.openxmlformats.org/officeDocument/2006/relationships/header" Target="header4.xml"/><Relationship Id="rId15"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2026-03-17T11:22:00Z</dcterms:created>
  <dc:creator>王云雀</dc:creator>
  <cp:lastModifiedBy>王云雀</cp:lastModifiedBy>
  <dcterms:modified xsi:type="dcterms:W3CDTF">2026-03-17T11:22:43Z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2D452D2E59FD4B8A93D547DDF1D3F406_11</vt:lpwstr>
  </property>
  <property fmtid="{D5CDD505-2E9C-101B-9397-08002B2CF9AE}" pid="4" name="KSOTemplateDocerSaveRecord">
    <vt:lpwstr>eyJoZGlkIjoiNjEzNzA1NjA3ZGRkNjVhNjAxY2QzNTYwMTY1ZjhkYzMiLCJ1c2VySWQiOiIxNDQ4MTk2NCJ9</vt:lpwstr>
  </property>
</Properties>
</file>