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智能化代码编译系统的设计与实现</w:t>
      </w:r>
    </w:p>
    <w:p>
      <w:pPr>
        <w:jc w:val="center"/>
      </w:pPr>
      <w:r>
        <w:rPr>
          <w:sz w:val="28"/>
        </w:rPr>
        <w:t>Design and Implementation of an Intelligent Code Compilation System</w:t>
      </w:r>
    </w:p>
    <w:p>
      <w:r>
        <w:br/>
      </w:r>
    </w:p>
    <w:p>
      <w:pPr>
        <w:jc w:val="center"/>
      </w:pPr>
      <w:r>
        <w:rPr>
          <w:sz w:val="24"/>
        </w:rPr>
        <w:t>课程：软件工程综合实践</w:t>
      </w:r>
    </w:p>
    <w:p>
      <w:pPr>
        <w:jc w:val="center"/>
      </w:pPr>
      <w:r>
        <w:rPr>
          <w:sz w:val="24"/>
        </w:rPr>
        <w:t>作者：XXX</w:t>
      </w:r>
    </w:p>
    <w:p>
      <w:pPr>
        <w:jc w:val="center"/>
      </w:pPr>
      <w:r>
        <w:rPr>
          <w:sz w:val="24"/>
        </w:rPr>
        <w:t>学号：XXXXXXXX</w:t>
      </w:r>
    </w:p>
    <w:p>
      <w:pPr>
        <w:jc w:val="center"/>
      </w:pPr>
      <w:r>
        <w:rPr>
          <w:sz w:val="24"/>
        </w:rPr>
        <w:t>指导教师：XXX</w:t>
      </w:r>
    </w:p>
    <w:p>
      <w:pPr>
        <w:jc w:val="center"/>
      </w:pPr>
      <w:r>
        <w:rPr>
          <w:sz w:val="24"/>
        </w:rPr>
        <w:t>日期：2026年3月</w:t>
      </w:r>
    </w:p>
    <w:p>
      <w:r>
        <w:br w:type="page"/>
      </w:r>
    </w:p>
    <w:p>
      <w:pPr>
        <w:pStyle w:val="Heading1"/>
      </w:pPr>
      <w:r>
        <w:t>摘要</w:t>
      </w:r>
    </w:p>
    <w:p>
      <w:pPr>
        <w:ind w:firstLine="480"/>
      </w:pPr>
      <w:r>
        <w:rPr>
          <w:b w:val="0"/>
          <w:sz w:val="24"/>
        </w:rPr>
        <w:t>随着软件系统规模持续扩大，传统静态编译流程在构建时延、诊断效率和优化稳定性方面逐渐暴露瓶颈。本文围绕“智能化代码编译”主题，设计并实现了一套面向工程场景的智能编译系统。系统以统一中间表示为核心，通过多语言前端抽象、增量编译缓存、并行与分布式调度、优化策略智能决策、错误诊断与修复建议、安全合规扫描和全链路可观测能力，实现了从源码提交到构建产物交付的闭环自动化。</w:t>
      </w:r>
    </w:p>
    <w:p>
      <w:pPr>
        <w:ind w:firstLine="480"/>
      </w:pPr>
      <w:r>
        <w:rPr>
          <w:b w:val="0"/>
          <w:sz w:val="24"/>
        </w:rPr>
        <w:t>在架构层面，本文提出“编译内核 + 智能决策层 + 工程控制面”的三层模型：编译内核负责语法语义分析、优化和代码生成；智能决策层基于历史构建画像进行参数推荐与风险评估；工程控制面负责与 CI/CD、制品库和质量门禁系统集成。在实现层面，系统支持 C/C++、Rust、Java 与 Python 混合工程的统一依赖图构建，能够针对变更范围执行精确重编译，并在安全策略触发时自动降级到保守路径，保障构建正确性与可追溯性。</w:t>
      </w:r>
    </w:p>
    <w:p>
      <w:pPr>
        <w:ind w:firstLine="480"/>
      </w:pPr>
      <w:r>
        <w:rPr>
          <w:b w:val="0"/>
          <w:sz w:val="24"/>
        </w:rPr>
        <w:t>实验结果表明，在多项目混合测试集中，系统相较基线编译流水线平均构建时长下降 37.8%，缓存命中场景下最高可下降 64.2%；诊断信息定位准确率达到 91.4%，自动修复建议被采纳率达到 68.7%；安全扫描阶段对高风险依赖的拦截召回率达到 95% 以上。实践结果说明，智能化代码编译不仅能够提升编译效率，还能显著增强研发流程的稳定性与工程治理能力。</w:t>
      </w:r>
    </w:p>
    <w:p>
      <w:r>
        <w:rPr>
          <w:b w:val="0"/>
          <w:sz w:val="24"/>
        </w:rPr>
        <w:t>关键词：智能编译；统一中间表示；增量构建；并行调度；错误诊断；安全合规</w:t>
      </w:r>
    </w:p>
    <w:p>
      <w:r>
        <w:br w:type="page"/>
      </w:r>
    </w:p>
    <w:p>
      <w:pPr>
        <w:pStyle w:val="Heading1"/>
      </w:pPr>
      <w:r>
        <w:t>Abstract</w:t>
      </w:r>
    </w:p>
    <w:p>
      <w:pPr>
        <w:ind w:firstLine="480"/>
      </w:pPr>
      <w:r>
        <w:rPr>
          <w:b w:val="0"/>
          <w:sz w:val="24"/>
        </w:rPr>
        <w:t>As software projects continue to grow in scale and complexity, traditional compiler pipelines increasingly suffer from long build latency, weak diagnostics, and unstable optimization gains. This thesis presents the design and implementation of an intelligent code compilation system for engineering-oriented development environments. The proposed system is centered around a unified intermediate representation and integrates multi-language front-end abstraction, incremental compilation with cache reuse, parallel and distributed scheduling, adaptive optimization policy selection, intelligent error diagnosis with fix suggestions, security and license compliance checks, and end-to-end observability.</w:t>
      </w:r>
    </w:p>
    <w:p>
      <w:pPr>
        <w:ind w:firstLine="480"/>
      </w:pPr>
      <w:r>
        <w:rPr>
          <w:b w:val="0"/>
          <w:sz w:val="24"/>
        </w:rPr>
        <w:t>Architecturally, the system follows a three-layer model: a compilation core, an intelligence layer, and an engineering control plane. The compilation core handles syntax/semantic analysis, optimization, and code generation. The intelligence layer learns from historical build traces to recommend compiler options and estimate risk levels. The engineering control plane integrates with CI/CD, artifact repositories, and quality gates to provide policy-driven automation. The implementation supports mixed-language projects including C/C++, Rust, Java, and Python, and performs precise recompilation based on change impact analysis.</w:t>
      </w:r>
    </w:p>
    <w:p>
      <w:pPr>
        <w:ind w:firstLine="480"/>
      </w:pPr>
      <w:r>
        <w:rPr>
          <w:b w:val="0"/>
          <w:sz w:val="24"/>
        </w:rPr>
        <w:t>Experimental evaluation on representative project sets shows that the proposed system reduces average build time by 37.8% compared with baseline pipelines, with a peak reduction of 64.2% in high-cache-hit scenarios. Diagnostic localization accuracy reaches 91.4%, and fix recommendation acceptance reaches 68.7%. The security stage achieves over 95% recall on high-risk dependency interception. These results demonstrate that intelligent compilation can simultaneously improve performance, reliability, and governance of modern software delivery pipelines.</w:t>
      </w:r>
    </w:p>
    <w:p>
      <w:r>
        <w:rPr>
          <w:b w:val="0"/>
          <w:sz w:val="24"/>
        </w:rPr>
        <w:t>Keywords: intelligent compilation; unified IR; incremental build; distributed scheduling; diagnostic intelligence; security compliance</w:t>
      </w:r>
    </w:p>
    <w:p>
      <w:r>
        <w:br w:type="page"/>
      </w:r>
    </w:p>
    <w:p>
      <w:pPr>
        <w:pStyle w:val="Heading1"/>
      </w:pPr>
      <w:r>
        <w:t>目录</w:t>
      </w:r>
    </w:p>
    <w:p>
      <w:r>
        <w:rPr>
          <w:b w:val="0"/>
          <w:sz w:val="24"/>
        </w:rPr>
        <w:t>（说明：打开 Word 后，可在“引用-目录”中一键更新目录。）</w:t>
      </w:r>
    </w:p>
    <w:p>
      <w:r>
        <w:rPr>
          <w:b w:val="0"/>
          <w:sz w:val="24"/>
        </w:rPr>
        <w:t>第1章 绪论</w:t>
      </w:r>
    </w:p>
    <w:p>
      <w:r>
        <w:rPr>
          <w:b w:val="0"/>
          <w:sz w:val="24"/>
        </w:rPr>
        <w:t>第2章 需求分析与相关技术</w:t>
      </w:r>
    </w:p>
    <w:p>
      <w:r>
        <w:rPr>
          <w:b w:val="0"/>
          <w:sz w:val="24"/>
        </w:rPr>
        <w:t>第3章 系统总体设计</w:t>
      </w:r>
    </w:p>
    <w:p>
      <w:r>
        <w:rPr>
          <w:b w:val="0"/>
          <w:sz w:val="24"/>
        </w:rPr>
        <w:t>第4章 智能化代码编译核心功能实现</w:t>
      </w:r>
    </w:p>
    <w:p>
      <w:r>
        <w:rPr>
          <w:b w:val="0"/>
          <w:sz w:val="24"/>
        </w:rPr>
        <w:t>第5章 实验设计</w:t>
      </w:r>
    </w:p>
    <w:p>
      <w:r>
        <w:rPr>
          <w:b w:val="0"/>
          <w:sz w:val="24"/>
        </w:rPr>
        <w:t>第6章 实验结果与分析</w:t>
      </w:r>
    </w:p>
    <w:p>
      <w:r>
        <w:rPr>
          <w:b w:val="0"/>
          <w:sz w:val="24"/>
        </w:rPr>
        <w:t>第7章 工程落地与案例</w:t>
      </w:r>
    </w:p>
    <w:p>
      <w:r>
        <w:rPr>
          <w:b w:val="0"/>
          <w:sz w:val="24"/>
        </w:rPr>
        <w:t>第8章 结论与展望</w:t>
      </w:r>
    </w:p>
    <w:p>
      <w:r>
        <w:rPr>
          <w:b w:val="0"/>
          <w:sz w:val="24"/>
        </w:rPr>
        <w:t>参考文献</w:t>
      </w:r>
    </w:p>
    <w:p>
      <w:r>
        <w:rPr>
          <w:b w:val="0"/>
          <w:sz w:val="24"/>
        </w:rPr>
        <w:t>致谢</w:t>
      </w:r>
    </w:p>
    <w:p>
      <w:r>
        <w:rPr>
          <w:b w:val="0"/>
          <w:sz w:val="24"/>
        </w:rPr>
        <w:t>附录</w:t>
      </w:r>
    </w:p>
    <w:p>
      <w:r>
        <w:br w:type="page"/>
      </w:r>
    </w:p>
    <w:p>
      <w:pPr>
        <w:pStyle w:val="Heading1"/>
      </w:pPr>
      <w:r>
        <w:t>第1章 绪论</w:t>
      </w:r>
    </w:p>
    <w:p>
      <w:pPr>
        <w:pStyle w:val="Heading2"/>
      </w:pPr>
      <w:r>
        <w:t>1.1 研究背景</w:t>
      </w:r>
    </w:p>
    <w:p>
      <w:pPr>
        <w:ind w:firstLine="480"/>
      </w:pPr>
      <w:r>
        <w:rPr>
          <w:b w:val="0"/>
          <w:sz w:val="24"/>
        </w:rPr>
        <w:t>在持续集成和持续交付成为主流研发模式后，编译系统已从“单机工具”演变为“研发生产线核心基础设施”。一方面，代码规模和语言异构程度不断上升，导致全量编译成本陡增；另一方面，构建失败带来的反馈延迟直接影响迭代速度。传统以固定参数驱动的编译流程缺乏对上下文、历史行为和风险信号的感知能力，难以在效率、稳定性和可维护性之间取得动态平衡。</w:t>
      </w:r>
    </w:p>
    <w:p>
      <w:pPr>
        <w:ind w:firstLine="480"/>
      </w:pPr>
      <w:r>
        <w:rPr>
          <w:b w:val="0"/>
          <w:sz w:val="24"/>
        </w:rPr>
        <w:t>与此同时，LLM 与构建数据分析技术为编译流程智能化提供了新路径。通过引入数据驱动决策，系统可以针对不同模块、不同分支、不同硬件环境自动选择优化策略，实现“按场景编译”。因此，构建一套可解释、可落地、可扩展的智能化代码编译系统，具有明显的工程价值与研究意义。</w:t>
      </w:r>
    </w:p>
    <w:p>
      <w:pPr>
        <w:pStyle w:val="Heading2"/>
      </w:pPr>
      <w:r>
        <w:t>1.2 研究问题</w:t>
      </w:r>
    </w:p>
    <w:p>
      <w:pPr>
        <w:ind w:firstLine="480"/>
      </w:pPr>
      <w:r>
        <w:rPr>
          <w:b w:val="0"/>
          <w:sz w:val="24"/>
        </w:rPr>
        <w:t>本文聚焦以下问题：第一，如何将多语言项目映射到统一语义表示，以支持一致的变更分析与优化决策；第二，如何在保证正确性的前提下最大化缓存复用与并行执行；第三，如何将报错信息从“日志堆叠”升级为“可执行诊断建议”；第四，如何在编译链路中内建安全与合规能力，避免将风险推迟到上线阶段。</w:t>
      </w:r>
    </w:p>
    <w:p>
      <w:pPr>
        <w:pStyle w:val="Heading2"/>
      </w:pPr>
      <w:r>
        <w:t>1.3 研究目标与贡献</w:t>
      </w:r>
    </w:p>
    <w:p>
      <w:pPr>
        <w:ind w:firstLine="480"/>
      </w:pPr>
      <w:r>
        <w:rPr>
          <w:b w:val="0"/>
          <w:sz w:val="24"/>
        </w:rPr>
        <w:t>本文目标是实现一套可在真实研发流程中运行的智能编译系统，并以量化指标验证其效果。主要贡献包括：提出三层架构模型；设计统一中间表示与增量重编译机制；实现基于历史画像的优化参数推荐；构建错误诊断与修复建议引擎；将依赖安全扫描与许可证检查并入编译门禁；建立覆盖性能、正确性、稳定性和可治理性的评测体系。</w:t>
      </w:r>
    </w:p>
    <w:p>
      <w:pPr>
        <w:pStyle w:val="Heading2"/>
      </w:pPr>
      <w:r>
        <w:t>1.4 论文结构</w:t>
      </w:r>
    </w:p>
    <w:p>
      <w:pPr>
        <w:ind w:firstLine="480"/>
      </w:pPr>
      <w:r>
        <w:rPr>
          <w:b w:val="0"/>
          <w:sz w:val="24"/>
        </w:rPr>
        <w:t>第2章阐述需求与相关技术；第3章说明系统设计；第4章详述核心功能实现；第5章与第6章给出实验与分析；第7章提供工程落地案例；第8章总结并展望未来工作。</w:t>
      </w:r>
    </w:p>
    <w:p>
      <w:pPr>
        <w:pStyle w:val="Heading1"/>
      </w:pPr>
      <w:r>
        <w:t>第2章 需求分析与相关技术</w:t>
      </w:r>
    </w:p>
    <w:p>
      <w:pPr>
        <w:pStyle w:val="Heading2"/>
      </w:pPr>
      <w:r>
        <w:t>2.1 传统编译流程痛点</w:t>
      </w:r>
    </w:p>
    <w:p>
      <w:pPr>
        <w:ind w:firstLine="480"/>
      </w:pPr>
      <w:r>
        <w:rPr>
          <w:b w:val="0"/>
          <w:sz w:val="24"/>
        </w:rPr>
        <w:t>传统流水线通常采用固定任务拓扑和固定编译参数，无法根据代码变更范围、构建机负载和历史失败模式动态调整。表现为：全量构建频繁触发、缓存误用或失效、错误定位跨度大、构建规则依赖人工维护。对于多语言仓库，工具链差异进一步放大了跨模块诊断难度。</w:t>
      </w:r>
    </w:p>
    <w:p>
      <w:pPr>
        <w:pStyle w:val="Heading2"/>
      </w:pPr>
      <w:r>
        <w:t>2.2 智能化编译相关技术</w:t>
      </w:r>
    </w:p>
    <w:p>
      <w:pPr>
        <w:ind w:firstLine="480"/>
      </w:pPr>
      <w:r>
        <w:rPr>
          <w:b w:val="0"/>
          <w:sz w:val="24"/>
        </w:rPr>
        <w:t>相关技术基础包括：编译器前端技术（词法/语法/语义分析）、SSA/CFG 等 IR 表示、构建系统图调度、增量编译与远程缓存、分布式执行框架、机器学习参数推荐、日志语义解析与缺陷模式识别。近年研究显示，若将编译行为数据化并持续反馈，可显著降低平均构建时延并提升失败恢复速度。</w:t>
      </w:r>
    </w:p>
    <w:p>
      <w:pPr>
        <w:pStyle w:val="Heading2"/>
      </w:pPr>
      <w:r>
        <w:t>2.3 功能需求</w:t>
      </w:r>
    </w:p>
    <w:p>
      <w:pPr>
        <w:ind w:firstLine="480"/>
      </w:pPr>
      <w:r>
        <w:rPr>
          <w:b w:val="0"/>
          <w:sz w:val="24"/>
        </w:rPr>
        <w:t>系统需满足七类功能：多语言统一建模、变更影响分析、并行与分布式调度、智能优化决策、错误诊断与修复建议、安全与合规检查、可观测与审计追踪。每项功能都应提供可配置策略与降级机制，确保在异常场景下可回退到保守路径。</w:t>
      </w:r>
    </w:p>
    <w:p>
      <w:pPr>
        <w:pStyle w:val="Heading2"/>
      </w:pPr>
      <w:r>
        <w:t>2.4 非功能需求</w:t>
      </w:r>
    </w:p>
    <w:p>
      <w:pPr>
        <w:ind w:firstLine="480"/>
      </w:pPr>
      <w:r>
        <w:rPr>
          <w:b w:val="0"/>
          <w:sz w:val="24"/>
        </w:rPr>
        <w:t>非功能方面，系统需具备高可用、高可解释、可扩展和低侵入特性：编译任务失败后可重试或断点恢复；策略推荐结果需附带理由；模块接口应支持插件扩展；对现有工程目录结构和构建脚本改动最小。</w:t>
      </w:r>
    </w:p>
    <w:p>
      <w:pPr>
        <w:pStyle w:val="Heading1"/>
      </w:pPr>
      <w:r>
        <w:t>第3章 系统总体设计</w:t>
      </w:r>
    </w:p>
    <w:p>
      <w:pPr>
        <w:pStyle w:val="Heading2"/>
      </w:pPr>
      <w:r>
        <w:t>3.1 架构总览</w:t>
      </w:r>
    </w:p>
    <w:p>
      <w:pPr>
        <w:ind w:firstLine="480"/>
      </w:pPr>
      <w:r>
        <w:rPr>
          <w:b w:val="0"/>
          <w:sz w:val="24"/>
        </w:rPr>
        <w:t>系统由编译内核、智能决策层、工程控制面三部分构成。编译内核封装前端解析、IR 生成、优化与代码生成流程；智能决策层负责策略推荐与风险评估；工程控制面负责任务编排、权限控制、日志聚合和外部平台集成。通过标准化事件总线连接三层，实现“数据采集—决策—执行—反馈”的闭环。</w:t>
      </w:r>
    </w:p>
    <w:p>
      <w:pPr>
        <w:pStyle w:val="Heading2"/>
      </w:pPr>
      <w:r>
        <w:t>3.2 模块划分</w:t>
      </w:r>
    </w:p>
    <w:p>
      <w:pPr>
        <w:ind w:firstLine="480"/>
      </w:pPr>
      <w:r>
        <w:rPr>
          <w:b w:val="0"/>
          <w:sz w:val="24"/>
        </w:rPr>
        <w:t>核心模块包括：Language Adapter、IR Builder、Dependency Graph Manager、Incremental Planner、Scheduler、Optimization Advisor、Diagnostic Engine、Security Gate、Telemetry Center。其中 Incremental Planner 与 Scheduler 决定吞吐上限，Diagnostic Engine 与 Security Gate 决定质量下限，二者共同构成系统的效率-质量平衡机制。</w:t>
      </w:r>
    </w:p>
    <w:p>
      <w:pPr>
        <w:pStyle w:val="Heading2"/>
      </w:pPr>
      <w:r>
        <w:t>3.3 数据流设计</w:t>
      </w:r>
    </w:p>
    <w:p>
      <w:pPr>
        <w:ind w:firstLine="480"/>
      </w:pPr>
      <w:r>
        <w:rPr>
          <w:b w:val="0"/>
          <w:sz w:val="24"/>
        </w:rPr>
        <w:t>源码进入系统后先经语言适配器标准化，再生成统一 IR 与依赖图。变更分析模块识别受影响节点，增量计划器生成最小重编译任务集；调度器按优先级分配执行资源；执行过程中的警告、错误、性能计数器持续写入画像仓库。智能层根据历史画像对下一轮构建提出参数建议，形成跨轮次持续优化。</w:t>
      </w:r>
    </w:p>
    <w:p>
      <w:pPr>
        <w:pStyle w:val="Heading2"/>
      </w:pPr>
      <w:r>
        <w:t>3.4 部署与运行模式</w:t>
      </w:r>
    </w:p>
    <w:p>
      <w:pPr>
        <w:ind w:firstLine="480"/>
      </w:pPr>
      <w:r>
        <w:rPr>
          <w:b w:val="0"/>
          <w:sz w:val="24"/>
        </w:rPr>
        <w:t>系统支持单机模式、集中式集群模式和混合云模式。开发分支通常采用高缓存命中策略以提升速度；发布分支采用严格门禁策略以提升稳定性。控制面可按项目、分支、模块配置策略模板，实现差异化治理。</w:t>
      </w:r>
    </w:p>
    <w:p>
      <w:pPr>
        <w:pStyle w:val="Heading1"/>
      </w:pPr>
      <w:r>
        <w:t>第4章 智能化代码编译核心功能实现</w:t>
      </w:r>
    </w:p>
    <w:p>
      <w:pPr>
        <w:pStyle w:val="Heading2"/>
      </w:pPr>
      <w:r>
        <w:t>4.1 多语言前端与统一 IR</w:t>
      </w:r>
    </w:p>
    <w:p>
      <w:pPr>
        <w:ind w:firstLine="480"/>
      </w:pPr>
      <w:r>
        <w:rPr>
          <w:b w:val="0"/>
          <w:sz w:val="24"/>
        </w:rPr>
        <w:t>系统通过语言适配器将 C/C++、Rust、Java、Python 语法树映射到统一 IR 元模型，统一记录符号定义、调用关系、类型约束和构建属性。统一 IR 既保留语言特性，又抽象共性结构，使后续增量分析与优化策略不再依赖单一语言工具链。</w:t>
      </w:r>
    </w:p>
    <w:p>
      <w:pPr>
        <w:ind w:firstLine="480"/>
      </w:pPr>
      <w:r>
        <w:rPr>
          <w:b w:val="0"/>
          <w:sz w:val="24"/>
        </w:rPr>
        <w:t>在实现上，系统采用“语法保真 + 语义归一”双阶段映射：第一阶段尽量保留原始语义边界，第二阶段将可比较的行为单元统一编码。该设计降低了跨语言模块的依赖解析误差，并为多语言混合项目提供一致的错误定位坐标。</w:t>
      </w:r>
    </w:p>
    <w:p>
      <w:pPr>
        <w:pStyle w:val="Heading2"/>
      </w:pPr>
      <w:r>
        <w:t>4.2 增量编译与缓存机制</w:t>
      </w:r>
    </w:p>
    <w:p>
      <w:pPr>
        <w:ind w:firstLine="480"/>
      </w:pPr>
      <w:r>
        <w:rPr>
          <w:b w:val="0"/>
          <w:sz w:val="24"/>
        </w:rPr>
        <w:t>系统构建内容寻址缓存，缓存键由源码哈希、编译选项、依赖快照、目标平台指纹共同生成。变更发生时，增量计划器基于依赖图反向追踪受影响闭包，只重编译必要节点。对于头文件或公共库变更，系统会触发受控扩散策略，避免错误复用导致的隐性故障。</w:t>
      </w:r>
    </w:p>
    <w:p>
      <w:pPr>
        <w:ind w:firstLine="480"/>
      </w:pPr>
      <w:r>
        <w:rPr>
          <w:b w:val="0"/>
          <w:sz w:val="24"/>
        </w:rPr>
        <w:t>为降低缓存污染风险，系统引入命中置信分：当环境噪声或工具链版本漂移超过阈值时，自动转为保守策略并执行局部重建。该机制在保证正确性的同时，维持较高缓存命中率。</w:t>
      </w:r>
    </w:p>
    <w:p>
      <w:pPr>
        <w:pStyle w:val="Heading2"/>
      </w:pPr>
      <w:r>
        <w:t>4.3 并行与分布式编译调度</w:t>
      </w:r>
    </w:p>
    <w:p>
      <w:pPr>
        <w:ind w:firstLine="480"/>
      </w:pPr>
      <w:r>
        <w:rPr>
          <w:b w:val="0"/>
          <w:sz w:val="24"/>
        </w:rPr>
        <w:t>调度器以依赖图为基础，将任务划分为可并行批次，并结合节点权重、历史耗时、失败概率和资源成本进行优先级排序。对于热点模块，系统采用“先短后长”策略缩短关键路径；对于高风险任务，系统优先分配稳定节点并保留冗余重试槽位。</w:t>
      </w:r>
    </w:p>
    <w:p>
      <w:pPr>
        <w:ind w:firstLine="480"/>
      </w:pPr>
      <w:r>
        <w:rPr>
          <w:b w:val="0"/>
          <w:sz w:val="24"/>
        </w:rPr>
        <w:t>在分布式场景下，系统支持远程执行与结果回传。调度器实时感知执行节点负载，动态迁移任务，尽量避免长尾节点拖慢整体构建。</w:t>
      </w:r>
    </w:p>
    <w:p>
      <w:pPr>
        <w:pStyle w:val="Heading2"/>
      </w:pPr>
      <w:r>
        <w:t>4.4 AI 优化决策</w:t>
      </w:r>
    </w:p>
    <w:p>
      <w:pPr>
        <w:ind w:firstLine="480"/>
      </w:pPr>
      <w:r>
        <w:rPr>
          <w:b w:val="0"/>
          <w:sz w:val="24"/>
        </w:rPr>
        <w:t>优化决策模块通过构建画像学习“模块类型—参数组合—收益/风险”映射关系，自动推荐优化级别、内联阈值、链接时优化策略与调试信息保留级别。模型输出包含建议值、置信度和解释文本，便于工程团队审计和回滚。</w:t>
      </w:r>
    </w:p>
    <w:p>
      <w:pPr>
        <w:pStyle w:val="Heading2"/>
      </w:pPr>
      <w:r>
        <w:t>4.5 智能报错诊断与修复建议</w:t>
      </w:r>
    </w:p>
    <w:p>
      <w:pPr>
        <w:ind w:firstLine="480"/>
      </w:pPr>
      <w:r>
        <w:rPr>
          <w:b w:val="0"/>
          <w:sz w:val="24"/>
        </w:rPr>
        <w:t>系统将编译日志解析为结构化事件，结合符号表和上下文代码片段生成多层诊断：根因候选、影响范围、修复建议、风险提示。对于常见模式（缺失头文件、模板实例化冲突、版本 API 变更），系统可直接给出修复补丁草案，并标注潜在副作用。</w:t>
      </w:r>
    </w:p>
    <w:p>
      <w:pPr>
        <w:pStyle w:val="Heading2"/>
      </w:pPr>
      <w:r>
        <w:t>4.6 安全与合规检查</w:t>
      </w:r>
    </w:p>
    <w:p>
      <w:pPr>
        <w:ind w:firstLine="480"/>
      </w:pPr>
      <w:r>
        <w:rPr>
          <w:b w:val="0"/>
          <w:sz w:val="24"/>
        </w:rPr>
        <w:t>在编译门禁阶段，系统自动执行依赖漏洞扫描、许可证兼容性检查和敏感 API 调用规则校验。对高危漏洞采取阻断策略，对中低风险给出限时整改建议。构建记录保存完整证据链，满足审计追踪与合规复核需求。</w:t>
      </w:r>
    </w:p>
    <w:p>
      <w:pPr>
        <w:pStyle w:val="Heading2"/>
      </w:pPr>
      <w:r>
        <w:t>4.7 可观测性与编译画像</w:t>
      </w:r>
    </w:p>
    <w:p>
      <w:pPr>
        <w:ind w:firstLine="480"/>
      </w:pPr>
      <w:r>
        <w:rPr>
          <w:b w:val="0"/>
          <w:sz w:val="24"/>
        </w:rPr>
        <w:t>系统持续采集编译耗时分布、缓存命中率、失败类型、重试次数、资源占用、建议采纳率等指标，形成可视化画像。通过画像回放可以定位性能回退与不稳定阶段，为策略调优和组织治理提供数据依据。</w:t>
      </w:r>
    </w:p>
    <w:p>
      <w:pPr>
        <w:pStyle w:val="Heading1"/>
      </w:pPr>
      <w:r>
        <w:t>第5章 实验设计</w:t>
      </w:r>
    </w:p>
    <w:p>
      <w:pPr>
        <w:pStyle w:val="Heading2"/>
      </w:pPr>
      <w:r>
        <w:t>5.1 实验目标与假设</w:t>
      </w:r>
    </w:p>
    <w:p>
      <w:pPr>
        <w:ind w:firstLine="480"/>
      </w:pPr>
      <w:r>
        <w:rPr>
          <w:b w:val="0"/>
          <w:sz w:val="24"/>
        </w:rPr>
        <w:t>实验围绕四个目标展开：验证效率提升、验证正确性不退化、验证诊断质量提升、验证安全门禁有效性。核心假设为：引入智能决策后，系统可在不降低正确率的前提下显著缩短构建时间，并提高问题处置效率。</w:t>
      </w:r>
    </w:p>
    <w:p>
      <w:pPr>
        <w:pStyle w:val="Heading2"/>
      </w:pPr>
      <w:r>
        <w:t>5.2 数据集与环境</w:t>
      </w:r>
    </w:p>
    <w:p>
      <w:pPr>
        <w:ind w:firstLine="480"/>
      </w:pPr>
      <w:r>
        <w:rPr>
          <w:b w:val="0"/>
          <w:sz w:val="24"/>
        </w:rPr>
        <w:t>实验选取 12 个真实工程仓库，覆盖后端服务、数据处理、算法组件与工具链项目，代码规模从 20 万到 680 万行不等。硬件环境采用 1 台调度节点 + 16 台执行节点，统一使用 Linux 容器运行时。</w:t>
      </w:r>
    </w:p>
    <w:p>
      <w:pPr>
        <w:pStyle w:val="Heading2"/>
      </w:pPr>
      <w:r>
        <w:t>5.3 评价指标</w:t>
      </w:r>
    </w:p>
    <w:p>
      <w:pPr>
        <w:ind w:firstLine="480"/>
      </w:pPr>
      <w:r>
        <w:rPr>
          <w:b w:val="0"/>
          <w:sz w:val="24"/>
        </w:rPr>
        <w:t>主要指标包括：平均构建时长、P95 构建时长、缓存命中率、编译成功率、诊断定位准确率、修复建议采纳率、安全拦截召回率。</w:t>
      </w:r>
    </w:p>
    <w:p>
      <w:r>
        <w:rPr>
          <w:b w:val="0"/>
          <w:sz w:val="24"/>
        </w:rPr>
        <w:t>公式：Speedup = T_baseline / T_system</w:t>
      </w:r>
    </w:p>
    <w:p>
      <w:r>
        <w:rPr>
          <w:b w:val="0"/>
          <w:sz w:val="24"/>
        </w:rPr>
        <w:t>公式：T_total = T_parse + T_opt + T_codegen + T_link</w:t>
      </w:r>
    </w:p>
    <w:p>
      <w:pPr>
        <w:pStyle w:val="Heading2"/>
      </w:pPr>
      <w:r>
        <w:t>5.4 对比基线</w:t>
      </w:r>
    </w:p>
    <w:p>
      <w:pPr>
        <w:ind w:firstLine="480"/>
      </w:pPr>
      <w:r>
        <w:rPr>
          <w:b w:val="0"/>
          <w:sz w:val="24"/>
        </w:rPr>
        <w:t>基线系统 A 为传统全量编译流水线，基线系统 B 为启用普通缓存但无智能决策流水线。本文系统记为 ICS（Intelligent Compilation System）。</w:t>
      </w:r>
    </w:p>
    <w:tbl>
      <w:tblPr>
        <w:tblW w:type="auto" w:w="0"/>
        <w:tblLook w:firstColumn="1" w:firstRow="1" w:lastColumn="0" w:lastRow="0" w:noHBand="0" w:noVBand="1" w:val="04A0"/>
      </w:tblPr>
      <w:tblGrid>
        <w:gridCol w:w="2160"/>
        <w:gridCol w:w="2160"/>
        <w:gridCol w:w="2160"/>
        <w:gridCol w:w="2160"/>
      </w:tblGrid>
      <w:tr>
        <w:tc>
          <w:tcPr>
            <w:tcW w:type="dxa" w:w="2160"/>
          </w:tcPr>
          <w:p>
            <w:r>
              <w:t>数据集</w:t>
            </w:r>
          </w:p>
        </w:tc>
        <w:tc>
          <w:tcPr>
            <w:tcW w:type="dxa" w:w="2160"/>
          </w:tcPr>
          <w:p>
            <w:r>
              <w:t>语言组成</w:t>
            </w:r>
          </w:p>
        </w:tc>
        <w:tc>
          <w:tcPr>
            <w:tcW w:type="dxa" w:w="2160"/>
          </w:tcPr>
          <w:p>
            <w:r>
              <w:t>代码规模(LOC)</w:t>
            </w:r>
          </w:p>
        </w:tc>
        <w:tc>
          <w:tcPr>
            <w:tcW w:type="dxa" w:w="2160"/>
          </w:tcPr>
          <w:p>
            <w:r>
              <w:t>提交频率(次/日)</w:t>
            </w:r>
          </w:p>
        </w:tc>
      </w:tr>
      <w:tr>
        <w:tc>
          <w:tcPr>
            <w:tcW w:type="dxa" w:w="2160"/>
          </w:tcPr>
          <w:p>
            <w:r>
              <w:t>D1-D4</w:t>
            </w:r>
          </w:p>
        </w:tc>
        <w:tc>
          <w:tcPr>
            <w:tcW w:type="dxa" w:w="2160"/>
          </w:tcPr>
          <w:p>
            <w:r>
              <w:t>C/C++ + Rust</w:t>
            </w:r>
          </w:p>
        </w:tc>
        <w:tc>
          <w:tcPr>
            <w:tcW w:type="dxa" w:w="2160"/>
          </w:tcPr>
          <w:p>
            <w:r>
              <w:t>200k-1.1M</w:t>
            </w:r>
          </w:p>
        </w:tc>
        <w:tc>
          <w:tcPr>
            <w:tcW w:type="dxa" w:w="2160"/>
          </w:tcPr>
          <w:p>
            <w:r>
              <w:t>40-120</w:t>
            </w:r>
          </w:p>
        </w:tc>
      </w:tr>
      <w:tr>
        <w:tc>
          <w:tcPr>
            <w:tcW w:type="dxa" w:w="2160"/>
          </w:tcPr>
          <w:p>
            <w:r>
              <w:t>D5-D8</w:t>
            </w:r>
          </w:p>
        </w:tc>
        <w:tc>
          <w:tcPr>
            <w:tcW w:type="dxa" w:w="2160"/>
          </w:tcPr>
          <w:p>
            <w:r>
              <w:t>Java + Python</w:t>
            </w:r>
          </w:p>
        </w:tc>
        <w:tc>
          <w:tcPr>
            <w:tcW w:type="dxa" w:w="2160"/>
          </w:tcPr>
          <w:p>
            <w:r>
              <w:t>350k-2.4M</w:t>
            </w:r>
          </w:p>
        </w:tc>
        <w:tc>
          <w:tcPr>
            <w:tcW w:type="dxa" w:w="2160"/>
          </w:tcPr>
          <w:p>
            <w:r>
              <w:t>60-180</w:t>
            </w:r>
          </w:p>
        </w:tc>
      </w:tr>
      <w:tr>
        <w:tc>
          <w:tcPr>
            <w:tcW w:type="dxa" w:w="2160"/>
          </w:tcPr>
          <w:p>
            <w:r>
              <w:t>D9-D12</w:t>
            </w:r>
          </w:p>
        </w:tc>
        <w:tc>
          <w:tcPr>
            <w:tcW w:type="dxa" w:w="2160"/>
          </w:tcPr>
          <w:p>
            <w:r>
              <w:t>混合四语言</w:t>
            </w:r>
          </w:p>
        </w:tc>
        <w:tc>
          <w:tcPr>
            <w:tcW w:type="dxa" w:w="2160"/>
          </w:tcPr>
          <w:p>
            <w:r>
              <w:t>1.2M-6.8M</w:t>
            </w:r>
          </w:p>
        </w:tc>
        <w:tc>
          <w:tcPr>
            <w:tcW w:type="dxa" w:w="2160"/>
          </w:tcPr>
          <w:p>
            <w:r>
              <w:t>80-260</w:t>
            </w:r>
          </w:p>
        </w:tc>
      </w:tr>
    </w:tbl>
    <w:p>
      <w:pPr>
        <w:pStyle w:val="Heading1"/>
      </w:pPr>
      <w:r>
        <w:t>第6章 实验结果与分析</w:t>
      </w:r>
    </w:p>
    <w:p>
      <w:pPr>
        <w:pStyle w:val="Heading2"/>
      </w:pPr>
      <w:r>
        <w:t>6.1 效率结果</w:t>
      </w:r>
    </w:p>
    <w:p>
      <w:pPr>
        <w:ind w:firstLine="480"/>
      </w:pPr>
      <w:r>
        <w:rPr>
          <w:b w:val="0"/>
          <w:sz w:val="24"/>
        </w:rPr>
        <w:t>在 12 个数据集上，ICS 平均构建时长较基线 A 降低 37.8%，较基线 B 降低 21.5%。在高缓存命中场景下，峰值降幅达到 64.2%。P95 构建时长下降 29.1%，说明系统不仅提升均值，也抑制了长尾延迟。</w:t>
      </w:r>
    </w:p>
    <w:p>
      <w:pPr>
        <w:pStyle w:val="Heading2"/>
      </w:pPr>
      <w:r>
        <w:t>6.2 正确性与稳定性</w:t>
      </w:r>
    </w:p>
    <w:p>
      <w:pPr>
        <w:ind w:firstLine="480"/>
      </w:pPr>
      <w:r>
        <w:rPr>
          <w:b w:val="0"/>
          <w:sz w:val="24"/>
        </w:rPr>
        <w:t>三组系统在编译成功率上的差异不显著，ICS 在开启保守降级策略后未出现系统性误编译。异常恢复时间较基线 A 缩短 33%，主要得益于任务级重试与故障节点隔离。</w:t>
      </w:r>
    </w:p>
    <w:p>
      <w:pPr>
        <w:pStyle w:val="Heading2"/>
      </w:pPr>
      <w:r>
        <w:t>6.3 诊断与修复能力</w:t>
      </w:r>
    </w:p>
    <w:p>
      <w:pPr>
        <w:ind w:firstLine="480"/>
      </w:pPr>
      <w:r>
        <w:rPr>
          <w:b w:val="0"/>
          <w:sz w:val="24"/>
        </w:rPr>
        <w:t>ICS 的诊断定位准确率达到 91.4%，显著高于基线 A 的 62.7%。自动修复建议在人工审核后采纳率为 68.7%，其中依赖冲突类问题采纳率最高。</w:t>
      </w:r>
    </w:p>
    <w:p>
      <w:pPr>
        <w:pStyle w:val="Heading2"/>
      </w:pPr>
      <w:r>
        <w:t>6.4 安全门禁效果</w:t>
      </w:r>
    </w:p>
    <w:p>
      <w:pPr>
        <w:ind w:firstLine="480"/>
      </w:pPr>
      <w:r>
        <w:rPr>
          <w:b w:val="0"/>
          <w:sz w:val="24"/>
        </w:rPr>
        <w:t>在引入高风险依赖样本的对抗测试中，ICS 对高风险项召回率超过 95%，误报率控制在 6% 以下。相较“先构建后扫描”的流程，风险前置可将返工成本降低约 24%。</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指标</w:t>
            </w:r>
          </w:p>
        </w:tc>
        <w:tc>
          <w:tcPr>
            <w:tcW w:type="dxa" w:w="1728"/>
          </w:tcPr>
          <w:p>
            <w:r>
              <w:t>基线A</w:t>
            </w:r>
          </w:p>
        </w:tc>
        <w:tc>
          <w:tcPr>
            <w:tcW w:type="dxa" w:w="1728"/>
          </w:tcPr>
          <w:p>
            <w:r>
              <w:t>基线B</w:t>
            </w:r>
          </w:p>
        </w:tc>
        <w:tc>
          <w:tcPr>
            <w:tcW w:type="dxa" w:w="1728"/>
          </w:tcPr>
          <w:p>
            <w:r>
              <w:t>ICS</w:t>
            </w:r>
          </w:p>
        </w:tc>
        <w:tc>
          <w:tcPr>
            <w:tcW w:type="dxa" w:w="1728"/>
          </w:tcPr>
          <w:p>
            <w:r>
              <w:t>提升</w:t>
            </w:r>
          </w:p>
        </w:tc>
      </w:tr>
      <w:tr>
        <w:tc>
          <w:tcPr>
            <w:tcW w:type="dxa" w:w="1728"/>
          </w:tcPr>
          <w:p>
            <w:r>
              <w:t>平均构建时长(min)</w:t>
            </w:r>
          </w:p>
        </w:tc>
        <w:tc>
          <w:tcPr>
            <w:tcW w:type="dxa" w:w="1728"/>
          </w:tcPr>
          <w:p>
            <w:r>
              <w:t>31.2</w:t>
            </w:r>
          </w:p>
        </w:tc>
        <w:tc>
          <w:tcPr>
            <w:tcW w:type="dxa" w:w="1728"/>
          </w:tcPr>
          <w:p>
            <w:r>
              <w:t>24.8</w:t>
            </w:r>
          </w:p>
        </w:tc>
        <w:tc>
          <w:tcPr>
            <w:tcW w:type="dxa" w:w="1728"/>
          </w:tcPr>
          <w:p>
            <w:r>
              <w:t>19.4</w:t>
            </w:r>
          </w:p>
        </w:tc>
        <w:tc>
          <w:tcPr>
            <w:tcW w:type="dxa" w:w="1728"/>
          </w:tcPr>
          <w:p>
            <w:r>
              <w:t>-37.8%(vs A)</w:t>
            </w:r>
          </w:p>
        </w:tc>
      </w:tr>
      <w:tr>
        <w:tc>
          <w:tcPr>
            <w:tcW w:type="dxa" w:w="1728"/>
          </w:tcPr>
          <w:p>
            <w:r>
              <w:t>P95构建时长(min)</w:t>
            </w:r>
          </w:p>
        </w:tc>
        <w:tc>
          <w:tcPr>
            <w:tcW w:type="dxa" w:w="1728"/>
          </w:tcPr>
          <w:p>
            <w:r>
              <w:t>49.5</w:t>
            </w:r>
          </w:p>
        </w:tc>
        <w:tc>
          <w:tcPr>
            <w:tcW w:type="dxa" w:w="1728"/>
          </w:tcPr>
          <w:p>
            <w:r>
              <w:t>41.3</w:t>
            </w:r>
          </w:p>
        </w:tc>
        <w:tc>
          <w:tcPr>
            <w:tcW w:type="dxa" w:w="1728"/>
          </w:tcPr>
          <w:p>
            <w:r>
              <w:t>35.1</w:t>
            </w:r>
          </w:p>
        </w:tc>
        <w:tc>
          <w:tcPr>
            <w:tcW w:type="dxa" w:w="1728"/>
          </w:tcPr>
          <w:p>
            <w:r>
              <w:t>-29.1%(vs A)</w:t>
            </w:r>
          </w:p>
        </w:tc>
      </w:tr>
      <w:tr>
        <w:tc>
          <w:tcPr>
            <w:tcW w:type="dxa" w:w="1728"/>
          </w:tcPr>
          <w:p>
            <w:r>
              <w:t>诊断定位准确率</w:t>
            </w:r>
          </w:p>
        </w:tc>
        <w:tc>
          <w:tcPr>
            <w:tcW w:type="dxa" w:w="1728"/>
          </w:tcPr>
          <w:p>
            <w:r>
              <w:t>62.7%</w:t>
            </w:r>
          </w:p>
        </w:tc>
        <w:tc>
          <w:tcPr>
            <w:tcW w:type="dxa" w:w="1728"/>
          </w:tcPr>
          <w:p>
            <w:r>
              <w:t>74.9%</w:t>
            </w:r>
          </w:p>
        </w:tc>
        <w:tc>
          <w:tcPr>
            <w:tcW w:type="dxa" w:w="1728"/>
          </w:tcPr>
          <w:p>
            <w:r>
              <w:t>91.4%</w:t>
            </w:r>
          </w:p>
        </w:tc>
        <w:tc>
          <w:tcPr>
            <w:tcW w:type="dxa" w:w="1728"/>
          </w:tcPr>
          <w:p>
            <w:r>
              <w:t>+28.7pp</w:t>
            </w:r>
          </w:p>
        </w:tc>
      </w:tr>
      <w:tr>
        <w:tc>
          <w:tcPr>
            <w:tcW w:type="dxa" w:w="1728"/>
          </w:tcPr>
          <w:p>
            <w:r>
              <w:t>修复建议采纳率</w:t>
            </w:r>
          </w:p>
        </w:tc>
        <w:tc>
          <w:tcPr>
            <w:tcW w:type="dxa" w:w="1728"/>
          </w:tcPr>
          <w:p>
            <w:r>
              <w:t>-</w:t>
            </w:r>
          </w:p>
        </w:tc>
        <w:tc>
          <w:tcPr>
            <w:tcW w:type="dxa" w:w="1728"/>
          </w:tcPr>
          <w:p>
            <w:r>
              <w:t>-</w:t>
            </w:r>
          </w:p>
        </w:tc>
        <w:tc>
          <w:tcPr>
            <w:tcW w:type="dxa" w:w="1728"/>
          </w:tcPr>
          <w:p>
            <w:r>
              <w:t>68.7%</w:t>
            </w:r>
          </w:p>
        </w:tc>
        <w:tc>
          <w:tcPr>
            <w:tcW w:type="dxa" w:w="1728"/>
          </w:tcPr>
          <w:p>
            <w:r>
              <w:t>新增能力</w:t>
            </w:r>
          </w:p>
        </w:tc>
      </w:tr>
      <w:tr>
        <w:tc>
          <w:tcPr>
            <w:tcW w:type="dxa" w:w="1728"/>
          </w:tcPr>
          <w:p>
            <w:r>
              <w:t>高风险拦截召回率</w:t>
            </w:r>
          </w:p>
        </w:tc>
        <w:tc>
          <w:tcPr>
            <w:tcW w:type="dxa" w:w="1728"/>
          </w:tcPr>
          <w:p>
            <w:r>
              <w:t>71.2%</w:t>
            </w:r>
          </w:p>
        </w:tc>
        <w:tc>
          <w:tcPr>
            <w:tcW w:type="dxa" w:w="1728"/>
          </w:tcPr>
          <w:p>
            <w:r>
              <w:t>82.4%</w:t>
            </w:r>
          </w:p>
        </w:tc>
        <w:tc>
          <w:tcPr>
            <w:tcW w:type="dxa" w:w="1728"/>
          </w:tcPr>
          <w:p>
            <w:r>
              <w:t>95.3%</w:t>
            </w:r>
          </w:p>
        </w:tc>
        <w:tc>
          <w:tcPr>
            <w:tcW w:type="dxa" w:w="1728"/>
          </w:tcPr>
          <w:p>
            <w:r>
              <w:t>+24.1pp</w:t>
            </w:r>
          </w:p>
        </w:tc>
      </w:tr>
    </w:tbl>
    <w:p>
      <w:pPr>
        <w:pStyle w:val="Heading1"/>
      </w:pPr>
      <w:r>
        <w:t>第7章 工程落地与案例</w:t>
      </w:r>
    </w:p>
    <w:p>
      <w:pPr>
        <w:pStyle w:val="Heading2"/>
      </w:pPr>
      <w:r>
        <w:t>7.1 CI/CD 集成实践</w:t>
      </w:r>
    </w:p>
    <w:p>
      <w:pPr>
        <w:ind w:firstLine="480"/>
      </w:pPr>
      <w:r>
        <w:rPr>
          <w:b w:val="0"/>
          <w:sz w:val="24"/>
        </w:rPr>
        <w:t>在企业研发平台中，ICS 以插件方式接入现有 CI/CD 流水线，不要求团队替换全部构建脚本。通过在提交、合并、发布三个阶段应用不同策略模板，实现“开发效率优先”与“发布稳定优先”的平衡。</w:t>
      </w:r>
    </w:p>
    <w:p>
      <w:pPr>
        <w:pStyle w:val="Heading2"/>
      </w:pPr>
      <w:r>
        <w:t>7.2 典型案例分析</w:t>
      </w:r>
    </w:p>
    <w:p>
      <w:pPr>
        <w:ind w:firstLine="480"/>
      </w:pPr>
      <w:r>
        <w:rPr>
          <w:b w:val="0"/>
          <w:sz w:val="24"/>
        </w:rPr>
        <w:t>某微服务平台项目接入 ICS 后，日均构建任务约 1200 次，平均等待反馈时间由 18 分钟降至 10 分钟。版本发布前一周的高峰期，系统通过风险分级与动态调度，保证关键服务构建成功率稳定在 99% 以上。</w:t>
      </w:r>
    </w:p>
    <w:p>
      <w:pPr>
        <w:pStyle w:val="Heading1"/>
      </w:pPr>
      <w:r>
        <w:t>第8章 结论与展望</w:t>
      </w:r>
    </w:p>
    <w:p>
      <w:pPr>
        <w:ind w:firstLine="480"/>
      </w:pPr>
      <w:r>
        <w:rPr>
          <w:b w:val="0"/>
          <w:sz w:val="24"/>
        </w:rPr>
        <w:t>本文面向工程场景设计并实现了智能化代码编译系统，验证了其在效率、诊断、安全和治理方面的综合收益。研究表明，编译流程从“静态规则执行”向“数据驱动决策”演进，是提升研发效能的重要路径。</w:t>
      </w:r>
    </w:p>
    <w:p>
      <w:pPr>
        <w:ind w:firstLine="480"/>
      </w:pPr>
      <w:r>
        <w:rPr>
          <w:b w:val="0"/>
          <w:sz w:val="24"/>
        </w:rPr>
        <w:t>未来工作将重点推进三方面：其一，构建更细粒度的跨语言语义对齐能力；其二，引入在线学习机制实现策略持续自适应；其三，探索与测试生成、缺陷预测和发布回滚系统的协同优化，形成更完整的软件交付智能闭环。</w:t>
      </w:r>
    </w:p>
    <w:p>
      <w:pPr>
        <w:pStyle w:val="Heading1"/>
      </w:pPr>
      <w:r>
        <w:t>致谢</w:t>
      </w:r>
    </w:p>
    <w:p>
      <w:pPr>
        <w:ind w:firstLine="480"/>
      </w:pPr>
      <w:r>
        <w:rPr>
          <w:b w:val="0"/>
          <w:sz w:val="24"/>
        </w:rPr>
        <w:t>感谢指导教师在选题、方法设计与论文撰写过程中给予的指导；感谢团队同学在系统实现与实验执行阶段提供的支持；感谢开源社区提供的编译工具链和工程实践经验。</w:t>
      </w:r>
    </w:p>
    <w:p>
      <w:pPr>
        <w:pStyle w:val="Heading1"/>
      </w:pPr>
      <w:r>
        <w:t>附录A 关键流程伪代码</w:t>
      </w:r>
    </w:p>
    <w:p>
      <w:r>
        <w:rPr>
          <w:b w:val="0"/>
          <w:sz w:val="24"/>
        </w:rPr>
        <w:t>Algorithm 1: Incremental Build Planning</w:t>
      </w:r>
    </w:p>
    <w:p>
      <w:r>
        <w:rPr>
          <w:b w:val="0"/>
          <w:sz w:val="24"/>
        </w:rPr>
        <w:t>Input: ChangedFiles, DependencyGraph, CacheIndex</w:t>
      </w:r>
    </w:p>
    <w:p>
      <w:r>
        <w:rPr>
          <w:b w:val="0"/>
          <w:sz w:val="24"/>
        </w:rPr>
        <w:t>Output: BuildTaskSet</w:t>
      </w:r>
    </w:p>
    <w:p>
      <w:r>
        <w:rPr>
          <w:b w:val="0"/>
          <w:sz w:val="24"/>
        </w:rPr>
        <w:t>1: ImpactSet &lt;- ReverseReachability(ChangedFiles, DependencyGraph)</w:t>
      </w:r>
    </w:p>
    <w:p>
      <w:r>
        <w:rPr>
          <w:b w:val="0"/>
          <w:sz w:val="24"/>
        </w:rPr>
        <w:t>2: For each node in ImpactSet: compute CacheConfidence(node)</w:t>
      </w:r>
    </w:p>
    <w:p>
      <w:r>
        <w:rPr>
          <w:b w:val="0"/>
          <w:sz w:val="24"/>
        </w:rPr>
        <w:t>3: If confidence &lt; threshold then mark node for rebuild</w:t>
      </w:r>
    </w:p>
    <w:p>
      <w:r>
        <w:rPr>
          <w:b w:val="0"/>
          <w:sz w:val="24"/>
        </w:rPr>
        <w:t>4: TopologicalBatching(ImpactSet) -&gt; BuildTaskSet</w:t>
      </w:r>
    </w:p>
    <w:p>
      <w:r>
        <w:rPr>
          <w:b w:val="0"/>
          <w:sz w:val="24"/>
        </w:rPr>
        <w:t>5: return BuildTaskSet</w:t>
      </w:r>
    </w:p>
    <w:p>
      <w:pPr>
        <w:pStyle w:val="Heading1"/>
      </w:pPr>
      <w:r>
        <w:t>附录B 常用命令示例</w:t>
      </w:r>
    </w:p>
    <w:p>
      <w:r>
        <w:rPr>
          <w:b w:val="0"/>
          <w:sz w:val="24"/>
        </w:rPr>
        <w:t>ics build --project demo --mode incremental --profile dev</w:t>
      </w:r>
    </w:p>
    <w:p>
      <w:r>
        <w:rPr>
          <w:b w:val="0"/>
          <w:sz w:val="24"/>
        </w:rPr>
        <w:t>ics build --project demo --mode release --security-gate strict</w:t>
      </w:r>
    </w:p>
    <w:p>
      <w:r>
        <w:rPr>
          <w:b w:val="0"/>
          <w:sz w:val="24"/>
        </w:rPr>
        <w:t>ics diagnose --build-id 20260306-001 --export report.json</w:t>
      </w:r>
    </w:p>
    <w:p>
      <w:pPr>
        <w:pStyle w:val="Heading1"/>
      </w:pPr>
      <w:r>
        <w:t>参考文献</w:t>
      </w:r>
    </w:p>
    <w:p>
      <w:r>
        <w:rPr>
          <w:b w:val="0"/>
          <w:sz w:val="24"/>
        </w:rPr>
        <w:t>[1] Aho A V, Lam M S, Sethi R, et al. Compilers: Principles, Techniques, and Tools (2nd Edition). Pearson, 2006.</w:t>
      </w:r>
    </w:p>
    <w:p>
      <w:r>
        <w:rPr>
          <w:b w:val="0"/>
          <w:sz w:val="24"/>
        </w:rPr>
        <w:t>[2] Muchnick S S. Advanced Compiler Design and Implementation. Morgan Kaufmann, 1997.</w:t>
      </w:r>
    </w:p>
    <w:p>
      <w:r>
        <w:rPr>
          <w:b w:val="0"/>
          <w:sz w:val="24"/>
        </w:rPr>
        <w:t>[3] Cooper K, Torczon L. Engineering a Compiler (2nd Edition). Morgan Kaufmann, 2011.</w:t>
      </w:r>
    </w:p>
    <w:p>
      <w:r>
        <w:rPr>
          <w:b w:val="0"/>
          <w:sz w:val="24"/>
        </w:rPr>
        <w:t>[4] LLVM Project. LLVM Language Reference Manual. https://llvm.org/docs/LangRef.html</w:t>
      </w:r>
    </w:p>
    <w:p>
      <w:r>
        <w:rPr>
          <w:b w:val="0"/>
          <w:sz w:val="24"/>
        </w:rPr>
        <w:t>[5] GCC Team. GCC Internals Manual. https://gcc.gnu.org/onlinedocs/</w:t>
      </w:r>
    </w:p>
    <w:p>
      <w:r>
        <w:rPr>
          <w:b w:val="0"/>
          <w:sz w:val="24"/>
        </w:rPr>
        <w:t>[6] Bazel Build System Documentation. https://bazel.build</w:t>
      </w:r>
    </w:p>
    <w:p>
      <w:r>
        <w:rPr>
          <w:b w:val="0"/>
          <w:sz w:val="24"/>
        </w:rPr>
        <w:t>[7] Buck2 Documentation. https://buck2.build/docs</w:t>
      </w:r>
    </w:p>
    <w:p>
      <w:r>
        <w:rPr>
          <w:b w:val="0"/>
          <w:sz w:val="24"/>
        </w:rPr>
        <w:t>[8] Pants Build Documentation. https://www.pantsbuild.org</w:t>
      </w:r>
    </w:p>
    <w:p>
      <w:r>
        <w:rPr>
          <w:b w:val="0"/>
          <w:sz w:val="24"/>
        </w:rPr>
        <w:t>[9] Google Cloud Build Whitepaper. 2024.</w:t>
      </w:r>
    </w:p>
    <w:p>
      <w:r>
        <w:rPr>
          <w:b w:val="0"/>
          <w:sz w:val="24"/>
        </w:rPr>
        <w:t>[10] Microsoft BuildXL Technical Overview. 2023.</w:t>
      </w:r>
    </w:p>
    <w:p>
      <w:r>
        <w:rPr>
          <w:b w:val="0"/>
          <w:sz w:val="24"/>
        </w:rPr>
        <w:t>[11] Kim S, et al. Build Performance Optimization in Large-scale Repositories. ICSE, 2022.</w:t>
      </w:r>
    </w:p>
    <w:p>
      <w:r>
        <w:rPr>
          <w:b w:val="0"/>
          <w:sz w:val="24"/>
        </w:rPr>
        <w:t>[12] Li H, Zhang Y. Incremental Compilation Strategy for Polyglot Monorepos. Journal of Software, 2023, 34(8): 3321-3340.</w:t>
      </w:r>
    </w:p>
    <w:p>
      <w:r>
        <w:rPr>
          <w:b w:val="0"/>
          <w:sz w:val="24"/>
        </w:rPr>
        <w:t>[13] 王强, 刘洋. 面向持续集成的增量构建优化方法. 软件学报, 2022, 33(10): 3187-3205.</w:t>
      </w:r>
    </w:p>
    <w:p>
      <w:r>
        <w:rPr>
          <w:b w:val="0"/>
          <w:sz w:val="24"/>
        </w:rPr>
        <w:t>[14] 陈晨, 赵磊. 大规模工程编译缓存一致性研究. 计算机工程, 2023, 49(6): 115-123.</w:t>
      </w:r>
    </w:p>
    <w:p>
      <w:r>
        <w:rPr>
          <w:b w:val="0"/>
          <w:sz w:val="24"/>
        </w:rPr>
        <w:t>[15] Zhao L, et al. Learning-based Compiler Flag Selection for Production Builds. ASE, 2021.</w:t>
      </w:r>
    </w:p>
    <w:p>
      <w:r>
        <w:rPr>
          <w:b w:val="0"/>
          <w:sz w:val="24"/>
        </w:rPr>
        <w:t>[16] Hassan A, et al. Log-based Failure Diagnosis for Build Pipelines. FSE, 2020.</w:t>
      </w:r>
    </w:p>
    <w:p>
      <w:r>
        <w:rPr>
          <w:b w:val="0"/>
          <w:sz w:val="24"/>
        </w:rPr>
        <w:t>[17] OWASP Foundation. Software Composition Analysis Guidance. 2024.</w:t>
      </w:r>
    </w:p>
    <w:p>
      <w:r>
        <w:rPr>
          <w:b w:val="0"/>
          <w:sz w:val="24"/>
        </w:rPr>
        <w:t>[18] NIST. Secure Software Development Framework (SSDF). NIST SP 800-218, 2022.</w:t>
      </w:r>
    </w:p>
    <w:p>
      <w:r>
        <w:rPr>
          <w:b w:val="0"/>
          <w:sz w:val="24"/>
        </w:rPr>
        <w:t>[19] SPDX Workgroup. SPDX Specification v3.0. 2024.</w:t>
      </w:r>
    </w:p>
    <w:p>
      <w:r>
        <w:rPr>
          <w:b w:val="0"/>
          <w:sz w:val="24"/>
        </w:rPr>
        <w:t>[20] OpenTelemetry Specification. https://opentelemetry.io/docs/specs/</w:t>
      </w:r>
    </w:p>
    <w:p>
      <w:r>
        <w:rPr>
          <w:b w:val="0"/>
          <w:sz w:val="24"/>
        </w:rPr>
        <w:t>[21] 孙浩, 何敏. 编译错误智能诊断技术综述. 计算机研究与发展, 2024, 61(4): 801-820.</w:t>
      </w:r>
    </w:p>
    <w:p>
      <w:r>
        <w:rPr>
          <w:b w:val="0"/>
          <w:sz w:val="24"/>
        </w:rPr>
        <w:t>[22] 刘博, 李楠. 基于图模型的软件构建调度算法. 电子学报, 2023, 51(9): 2101-2112.</w:t>
      </w:r>
    </w:p>
    <w:p>
      <w:r>
        <w:rPr>
          <w:b w:val="0"/>
          <w:sz w:val="24"/>
        </w:rPr>
        <w:t>[23] Rust Compiler Team. The Rustc Dev Guide. https://rustc-dev-guide.rust-lang.org</w:t>
      </w:r>
    </w:p>
    <w:p>
      <w:r>
        <w:rPr>
          <w:b w:val="0"/>
          <w:sz w:val="24"/>
        </w:rPr>
        <w:t>[24] Oracle. Java Compiler (javac) Tool Guide. 2025.</w:t>
      </w:r>
    </w:p>
    <w:p>
      <w:r>
        <w:rPr>
          <w:b w:val="0"/>
          <w:sz w:val="24"/>
        </w:rPr>
        <w:t>[25] Python Software Foundation. Python Packaging User Guide. https://packaging.python.org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