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A7E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2023年3月1日，原告（出租人）与被告（承租人）签订《房屋租赁合同》，约定：</w:t>
      </w:r>
    </w:p>
    <w:p w14:paraId="668FA4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bookmarkStart w:id="0" w:name="_GoBack"/>
      <w:bookmarkEnd w:id="0"/>
    </w:p>
    <w:p w14:paraId="472AC9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租赁房屋位于上海市浦东新区XX路XX号XX室；</w:t>
      </w:r>
    </w:p>
    <w:p w14:paraId="5E248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1297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09923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租赁期限自2023年3月1日至2026年3月1日，共三年；</w:t>
      </w:r>
    </w:p>
    <w:p w14:paraId="42A854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A04A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2EB24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月租金为人民币12,000元，按季度支付，每季度首月5日前支付当季租金；</w:t>
      </w:r>
    </w:p>
    <w:p w14:paraId="743CD4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2C939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881ED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押金为人民币36,000元，合同终止时结清各项费用后无息返还；</w:t>
      </w:r>
    </w:p>
    <w:p w14:paraId="2ECF1A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C340A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E9E70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租赁期间，房屋及设施因使用不当造成的损坏，由承租人负责维修或赔偿；</w:t>
      </w:r>
    </w:p>
    <w:p w14:paraId="7748E8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98FA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94D74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承租人逾期支付租金超过15日的，出租人有权解除合同，承租人应按年租金的30%支付违约金；</w:t>
      </w:r>
    </w:p>
    <w:p w14:paraId="655395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33EB7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AC85D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租赁期满或合同解除后，承租人应在7日内搬离并交还房屋。</w:t>
      </w:r>
    </w:p>
    <w:p w14:paraId="7767D2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2E800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7EF3"/>
    <w:multiLevelType w:val="multilevel"/>
    <w:tmpl w:val="94947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2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2026-07-28T07:12:58Z</dcterms:created>
  <dc:creator>PC</dc:creator>
  <cp:lastModifiedBy>PC</cp:lastModifiedBy>
  <dcterms:modified xsi:type="dcterms:W3CDTF">2026-07-28T07:13:03Z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2AA8F72B2DA14101913346A2D4B52645_12</vt:lpwstr>
  </property>
</Properties>
</file>