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2021/05/13</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13</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1fd992a56d234cd9"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068834ace26d4b1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粤职检20210513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068834ace26d4b1a" /><Relationship Type="http://schemas.openxmlformats.org/officeDocument/2006/relationships/image" Target="/word/media/image1.jpeg" Id="R1fd992a56d234cd9"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