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南方医科大学中西医结合医院</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2019/03/20</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2021/05/12</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51BA0338">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南方医科大学中西医结合医院</w:t>
      </w:r>
      <w:r w:rsidR="00FA039D">
        <w:rPr>
          <w:rFonts w:hint="eastAsia" w:ascii="宋体" w:hAnsi="宋体" w:eastAsia="宋体" w:cs="宋体"/>
          <w:bCs/>
          <w:szCs w:val="21"/>
        </w:rPr>
        <w:t>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4</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南方医科大学中西医结合医院</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2F9C1EAD">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南方医科大学中西医结合医院</w:t>
      </w:r>
      <w:r w:rsidRPr="00D10321">
        <w:rPr>
          <w:rFonts w:ascii="宋体" w:hAnsi="宋体" w:eastAsia="宋体"/>
          <w:sz w:val="24"/>
        </w:rPr>
        <w:t>有限公司的委托，我院于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20</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20</w:t>
      </w:r>
      <w:r w:rsidRPr="00D10321">
        <w:rPr>
          <w:rFonts w:ascii="宋体" w:hAnsi="宋体" w:eastAsia="宋体"/>
          <w:sz w:val="24"/>
        </w:rPr>
        <w:t>日对</w:t>
      </w:r>
      <w:r w:rsidRPr="00D10321">
        <w:rPr>
          <w:rFonts w:hint="eastAsia" w:ascii="宋体" w:hAnsi="宋体" w:eastAsia="宋体"/>
          <w:sz w:val="24"/>
        </w:rPr>
        <w:t>其生产部门</w:t>
      </w:r>
      <w:r w:rsidR="00684164">
        <w:rPr>
          <w:rFonts w:hint="eastAsia" w:ascii="宋体" w:hAnsi="宋体" w:eastAsia="宋体"/>
          <w:sz w:val="24"/>
        </w:rPr>
        <w:t>4</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1A306A3">
      <w:pPr>
        <w:spacing w:line="360" w:lineRule="auto"/>
        <w:ind w:firstLine="480" w:firstLineChars="200"/>
        <w:rPr>
          <w:rFonts w:ascii="宋体" w:hAnsi="宋体"/>
          <w:sz w:val="24"/>
        </w:rPr>
      </w:pPr>
      <w:r>
        <w:rPr>
          <w:rFonts w:hint="eastAsia" w:ascii="宋体" w:hAnsi="宋体" w:eastAsia="宋体"/>
          <w:sz w:val="24"/>
        </w:rPr>
        <w:t>南方医科大学中西医结合医院</w:t>
      </w:r>
      <w:r w:rsidRPr="00D10321" w:rsidR="00D10321">
        <w:rPr>
          <w:rFonts w:ascii="宋体" w:hAnsi="宋体" w:eastAsia="宋体"/>
          <w:sz w:val="24"/>
        </w:rPr>
        <w:t>生产部接触的职业危害因素为</w:t>
      </w:r>
      <w:r>
        <w:rPr>
          <w:rFonts w:hint="eastAsia" w:ascii="宋体" w:hAnsi="宋体" w:eastAsia="宋体"/>
          <w:sz w:val="24"/>
        </w:rPr>
        <w:t>电离辐射、油品（包括苯系物、正已烷）、</w:t>
      </w:r>
      <w:r w:rsidRPr="00D10321" w:rsidR="00D10321">
        <w:rPr>
          <w:rFonts w:ascii="宋体" w:hAnsi="宋体" w:eastAsia="宋体"/>
          <w:sz w:val="24"/>
        </w:rPr>
        <w:t>，本次委托的在岗体检应</w:t>
      </w:r>
      <w:proofErr w:type="gramStart"/>
      <w:r w:rsidRPr="00D10321" w:rsidR="00D10321">
        <w:rPr>
          <w:rFonts w:ascii="宋体" w:hAnsi="宋体" w:eastAsia="宋体"/>
          <w:sz w:val="24"/>
        </w:rPr>
        <w:t>检人数</w:t>
      </w:r>
      <w:proofErr w:type="gramEnd"/>
      <w:r w:rsidRPr="00D10321" w:rsidR="00D10321">
        <w:rPr>
          <w:rFonts w:ascii="宋体" w:hAnsi="宋体" w:eastAsia="宋体"/>
          <w:sz w:val="24"/>
        </w:rPr>
        <w:t>为</w:t>
      </w:r>
      <w:r>
        <w:rPr>
          <w:rFonts w:hint="eastAsia" w:ascii="宋体" w:hAnsi="宋体" w:eastAsia="宋体"/>
          <w:sz w:val="24"/>
        </w:rPr>
        <w:t>0</w:t>
      </w:r>
      <w:r w:rsidRPr="00D10321" w:rsidR="00D10321">
        <w:rPr>
          <w:rFonts w:ascii="宋体" w:hAnsi="宋体" w:eastAsia="宋体"/>
          <w:sz w:val="24"/>
        </w:rPr>
        <w:t>人，实检</w:t>
      </w:r>
      <w:r>
        <w:rPr>
          <w:rFonts w:hint="eastAsia" w:ascii="宋体" w:hAnsi="宋体" w:eastAsia="宋体"/>
          <w:sz w:val="24"/>
        </w:rPr>
        <w:t>0</w:t>
      </w:r>
      <w:r w:rsidRPr="00D10321" w:rsidR="00D10321">
        <w:rPr>
          <w:rFonts w:ascii="宋体" w:hAnsi="宋体" w:eastAsia="宋体"/>
          <w:sz w:val="24"/>
        </w:rPr>
        <w:t>人。按委托协议，公司提供</w:t>
      </w:r>
      <w:r>
        <w:rPr>
          <w:rFonts w:hint="eastAsia" w:ascii="宋体" w:hAnsi="宋体" w:eastAsia="宋体"/>
          <w:sz w:val="24"/>
        </w:rPr>
        <w:t>4</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w:t>
      </w:r>
      <w:proofErr w:type="gramStart"/>
      <w:r w:rsidRPr="00D10321" w:rsidR="00D10321">
        <w:rPr>
          <w:rFonts w:ascii="宋体" w:hAnsi="宋体" w:eastAsia="宋体"/>
          <w:sz w:val="24"/>
        </w:rPr>
        <w:t>书规范</w:t>
      </w:r>
      <w:proofErr w:type="gramEnd"/>
      <w:r w:rsidRPr="00D10321" w:rsidR="00D10321">
        <w:rPr>
          <w:rFonts w:ascii="宋体" w:hAnsi="宋体" w:eastAsia="宋体"/>
          <w:sz w:val="24"/>
        </w:rPr>
        <w:t>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本次检查未发现有职业禁忌症；</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南方医科大学中西医结合医院</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12</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南方医科大学中西医结合医院</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电离辐射</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3</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油品（包括苯系物、正已烷）</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33.33%</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2</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66.67%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刘卓</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视力:右眼裸视力0.5;左眼裸视力0.6
★  晶体眼底:双眼皮质散在些许点片状白色混浊;眼底检查：C/D增大
★  血常规:单核细胞百分比偏低(0.00%);单核细胞绝对值偏低(0.00X10^9/L);
★  心电图:窦性心动过缓(51次/每分)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1、可从事放射工种工作。
2、双眼裸眼视力偏低，建议配镜矫正。
3、窦性心动过缓，注意监测，不适就诊。</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余秀奎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复查</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血常规:单核细胞绝对值偏高(0.61X10^9/L);
★  放射职检生化项目:尿酸(UA)偏高(496.27umol/L);胆固醇(CH)偏高(6.53mmol/L);甘油三酯(TG)偏高(2.15mmol/L);低密度脂蛋白胆固醇(LDL-C)偏高(4.42mmol/L);
★  微核+染色体:双着丝粒体偏高(1);
★  彩色B超(肝胆脾):脂肪肝
★  五官科常规检查:耵聍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1、染色体畸变分析异常，建议暂不宜从事放射工作，3个月后复查染色体畸变分析。
2、尿酸偏高、脂肪肝、血脂偏高，建议低脂低嘌呤饮食，加强运动，定期复查肝胆B超。</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陈德</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电离辐射</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晶体眼底:双眼皮质、核轻度混浊
★  血常规:白细胞（WBC）偏高(12.64X10^9/L);淋巴细胞百分比偏低(17.12%);单核细胞百分比偏低(0.30%);中性粒细胞百分比偏高(82.21%);单核细胞绝对值偏低(0.04X10^9/L);中性粒细胞绝对值偏高(10.39X10^9/L);
★  放射职检生化项目:尿素(UREA)偏高(10.13mmol/L);胆固醇(CH)偏高(6.67mmol/L);甘油三酯(TG)偏高(2.12mmol/L);低密度脂蛋白胆固醇(LDL-C)偏高(4.60mmol/L);
★  彩色B超(肝胆脾):胆囊附壁结石;胆囊泥沙样结石
★  心电图:左前分支传导阻滞;陈旧性心梗可能
★  五官科常规检查:鼻中隔偏曲
★  DR胸部正位:考虑右上肺陈旧性肺结核、主动脉硬化，建议定期检查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1、可从事放射工种工作。
2、双眼皮质、核轻度混浊，建议定期复查。
3、白细胞偏高，建议定期复查，必要时专科治疗。
4、尿酸偏高、血脂偏高，建议低脂低嘌呤饮食，加强运动，定期复查。
5、胆囊泥沙样结石，建议定期复查胆囊B超，必要时专科治疗。
6、建议定期复查心电图。
7、考虑右上肺陈旧性肺结核、主动脉硬化，建议定期复查。</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772a962983f34b1e"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60145521c63741e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南方医科大学中西医结合医院                                粤职检20210512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60145521c63741e8" /><Relationship Type="http://schemas.openxmlformats.org/officeDocument/2006/relationships/image" Target="/word/media/image1.jpeg" Id="R772a962983f34b1e"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