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广州小糸车灯有限公司</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2019/03/19</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2021/05/20</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广州小糸车灯有限公司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13</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广州小糸车灯有限公司</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广州小糸车灯有限公司</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13</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广州小糸车灯有限公司</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噪声、化学物、化学品</w:t>
      </w:r>
      <w:r w:rsidRPr="00D10321" w:rsidR="00D10321">
        <w:rPr>
          <w:rFonts w:ascii="宋体" w:hAnsi="宋体" w:eastAsia="宋体"/>
          <w:sz w:val="24"/>
        </w:rPr>
        <w:t>，本次委托的在岗体检应检人数为</w:t>
      </w:r>
      <w:r>
        <w:rPr>
          <w:rFonts w:hint="eastAsia" w:ascii="宋体" w:hAnsi="宋体" w:eastAsia="宋体"/>
          <w:sz w:val="24"/>
        </w:rPr>
        <w:t>1</w:t>
      </w:r>
      <w:r w:rsidRPr="00D10321" w:rsidR="00D10321">
        <w:rPr>
          <w:rFonts w:ascii="宋体" w:hAnsi="宋体" w:eastAsia="宋体"/>
          <w:sz w:val="24"/>
        </w:rPr>
        <w:t>人，实检</w:t>
      </w:r>
      <w:r>
        <w:rPr>
          <w:rFonts w:hint="eastAsia" w:ascii="宋体" w:hAnsi="宋体" w:eastAsia="宋体"/>
          <w:sz w:val="24"/>
        </w:rPr>
        <w:t>1</w:t>
      </w:r>
      <w:r w:rsidRPr="00D10321" w:rsidR="00D10321">
        <w:rPr>
          <w:rFonts w:ascii="宋体" w:hAnsi="宋体" w:eastAsia="宋体"/>
          <w:sz w:val="24"/>
        </w:rPr>
        <w:t>人。按委托协议，公司提供</w:t>
      </w:r>
      <w:r>
        <w:rPr>
          <w:rFonts w:hint="eastAsia" w:ascii="宋体" w:hAnsi="宋体" w:eastAsia="宋体"/>
          <w:sz w:val="24"/>
        </w:rPr>
        <w:t>13</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本次检查发现有0例职业禁忌症，具体见附件4;</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广州小糸车灯有限公司</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20</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广州小糸车灯有限公司</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噪声、化学物</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8</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噪声、化学品</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5</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1</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13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7</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53.85%</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7.69%</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30.77%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r w:rsidRPr="000F4C2C" w:rsidR="00563518" w:rsidTr="005F17A6" w14:paraId="40C7FD67" w14:textId="77777777">
        <w:trPr>
          <w:trHeight w:val="813"/>
        </w:trPr>
        <w:tc>
          <w:tcPr>
            <w:tcW w:w="841" w:type="dxa"/>
            <w:tcBorders>
              <w:top w:val="single" w:color="auto" w:sz="4" w:space="0"/>
            </w:tcBorders>
            <w:vAlign w:val="center"/>
          </w:tcPr>
          <w:p w:rsidRPr="000B281C" w:rsidR="00563518" w:rsidP="00245C50" w:rsidRDefault="00563518" w14:paraId="2FF9E16F" w14:textId="27EEC745">
            <w:pPr>
              <w:jc w:val="center"/>
              <w:rPr>
                <w:rFonts w:ascii="宋体" w:hAnsi="宋体"/>
                <w:color w:val="000000"/>
                <w:szCs w:val="21"/>
              </w:rPr>
            </w:pPr>
            <w:r>
              <w:rPr>
                <w:rFonts w:hint="eastAsia" w:ascii="宋体" w:hAnsi="宋体" w:eastAsia="宋体"/>
                <w:color w:val="000000"/>
                <w:szCs w:val="21"/>
              </w:rPr>
              <w:t>邓柏超</w:t>
            </w:r>
          </w:p>
        </w:tc>
        <w:tc>
          <w:tcPr>
            <w:tcW w:w="567" w:type="dxa"/>
            <w:tcBorders>
              <w:top w:val="single" w:color="auto" w:sz="4" w:space="0"/>
            </w:tcBorders>
            <w:vAlign w:val="center"/>
          </w:tcPr>
          <w:p w:rsidRPr="000B281C" w:rsidR="00563518" w:rsidP="00245C50" w:rsidRDefault="00563518" w14:paraId="204A1A25" w14:textId="139155E8">
            <w:pPr>
              <w:jc w:val="center"/>
              <w:rPr>
                <w:rFonts w:ascii="宋体" w:hAnsi="宋体"/>
                <w:color w:val="000000"/>
                <w:szCs w:val="21"/>
              </w:rPr>
            </w:pPr>
            <w:r>
              <w:rPr>
                <w:rFonts w:hint="eastAsia" w:ascii="宋体" w:hAnsi="宋体" w:eastAsia="宋体"/>
                <w:color w:val="000000"/>
                <w:szCs w:val="21"/>
              </w:rPr>
              <w:t>男</w:t>
            </w:r>
          </w:p>
        </w:tc>
        <w:tc>
          <w:tcPr>
            <w:tcW w:w="698" w:type="dxa"/>
            <w:tcBorders>
              <w:top w:val="single" w:color="auto" w:sz="4" w:space="0"/>
            </w:tcBorders>
            <w:noWrap/>
            <w:vAlign w:val="center"/>
          </w:tcPr>
          <w:p w:rsidR="00563518" w:rsidP="00245C50" w:rsidRDefault="00563518" w14:paraId="55D9C778" w14:textId="7BF3A369">
            <w:pPr>
              <w:jc w:val="center"/>
              <w:rPr>
                <w:rFonts w:ascii="宋体" w:hAnsi="宋体"/>
                <w:color w:val="000000"/>
                <w:szCs w:val="21"/>
              </w:rPr>
            </w:pPr>
            <w:r>
              <w:rPr>
                <w:rFonts w:hint="eastAsia" w:ascii="宋体" w:hAnsi="宋体" w:eastAsia="宋体"/>
                <w:color w:val="000000"/>
                <w:szCs w:val="21"/>
              </w:rPr>
              <w:t>23</w:t>
            </w:r>
          </w:p>
        </w:tc>
        <w:tc>
          <w:tcPr>
            <w:tcW w:w="1145" w:type="dxa"/>
            <w:tcBorders>
              <w:top w:val="single" w:color="auto" w:sz="4" w:space="0"/>
            </w:tcBorders>
            <w:noWrap/>
            <w:vAlign w:val="center"/>
          </w:tcPr>
          <w:p w:rsidRPr="000B281C" w:rsidR="00563518" w:rsidP="00245C50" w:rsidRDefault="00563518" w14:paraId="1EC6321E" w14:textId="2296D289">
            <w:pPr>
              <w:jc w:val="center"/>
              <w:rPr>
                <w:rFonts w:ascii="宋体" w:hAnsi="宋体"/>
                <w:color w:val="000000"/>
                <w:szCs w:val="21"/>
              </w:rPr>
            </w:pPr>
            <w:r>
              <w:rPr>
                <w:rFonts w:hint="eastAsia" w:ascii="宋体" w:hAnsi="宋体" w:eastAsia="宋体"/>
                <w:color w:val="000000"/>
                <w:szCs w:val="21"/>
              </w:rPr>
              <w:t>噪声、化学品</w:t>
            </w:r>
          </w:p>
        </w:tc>
        <w:tc>
          <w:tcPr>
            <w:tcW w:w="1701" w:type="dxa"/>
            <w:tcBorders>
              <w:top w:val="single" w:color="auto" w:sz="4" w:space="0"/>
            </w:tcBorders>
            <w:noWrap/>
            <w:vAlign w:val="center"/>
          </w:tcPr>
          <w:p w:rsidRPr="000B281C" w:rsidR="00563518" w:rsidP="00245C50" w:rsidRDefault="00563518" w14:paraId="347D757A" w14:textId="50592993">
            <w:pPr>
              <w:jc w:val="center"/>
              <w:rPr>
                <w:rFonts w:ascii="宋体" w:hAnsi="宋体"/>
                <w:color w:val="000000"/>
                <w:szCs w:val="21"/>
              </w:rPr>
            </w:pPr>
            <w:r>
              <w:rPr>
                <w:rFonts w:hint="eastAsia" w:ascii="宋体" w:hAnsi="宋体" w:eastAsia="宋体"/>
                <w:color w:val="000000"/>
                <w:szCs w:val="21"/>
              </w:rPr>
              <w:t>本次检查结果:双耳听力障碍。</w:t>
            </w:r>
          </w:p>
        </w:tc>
        <w:tc>
          <w:tcPr>
            <w:tcW w:w="2551" w:type="dxa"/>
            <w:tcBorders>
              <w:top w:val="single" w:color="auto" w:sz="4" w:space="0"/>
            </w:tcBorders>
            <w:vAlign w:val="center"/>
          </w:tcPr>
          <w:p w:rsidRPr="000B281C" w:rsidR="00563518" w:rsidP="00245C50" w:rsidRDefault="00563518" w14:paraId="4C109539" w14:textId="4DF7249A">
            <w:pPr>
              <w:jc w:val="center"/>
              <w:rPr>
                <w:rFonts w:ascii="宋体" w:hAnsi="宋体"/>
                <w:color w:val="000000"/>
                <w:szCs w:val="21"/>
              </w:rPr>
            </w:pPr>
            <w:r>
              <w:rPr>
                <w:rFonts w:hint="eastAsia" w:ascii="宋体" w:hAnsi="宋体" w:eastAsia="宋体"/>
                <w:color w:val="000000"/>
                <w:szCs w:val="21"/>
              </w:rPr>
              <w:t>职业禁忌证</w:t>
            </w:r>
          </w:p>
        </w:tc>
        <w:tc>
          <w:tcPr>
            <w:tcW w:w="1985" w:type="dxa"/>
            <w:tcBorders>
              <w:top w:val="single" w:color="auto" w:sz="4" w:space="0"/>
            </w:tcBorders>
            <w:vAlign w:val="center"/>
          </w:tcPr>
          <w:p w:rsidRPr="000B281C" w:rsidR="00563518" w:rsidP="00245C50" w:rsidRDefault="00563518" w14:paraId="3339859F" w14:textId="2A0212E1">
            <w:pPr>
              <w:jc w:val="center"/>
              <w:rPr>
                <w:rFonts w:ascii="宋体" w:hAnsi="宋体"/>
                <w:color w:val="000000"/>
                <w:szCs w:val="21"/>
              </w:rPr>
            </w:pPr>
            <w:r>
              <w:rPr>
                <w:rFonts w:hint="eastAsia" w:ascii="宋体" w:hAnsi="宋体" w:eastAsia="宋体"/>
                <w:color w:val="000000"/>
                <w:szCs w:val="21"/>
              </w:rPr>
              <w:t>不宜从事接触噪声作业。</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13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职业性体格检查:间觉乏力
★  纯音测听:右耳正常听力曲线；左耳语频听阈正常，高频听阈提高
★  血常规:红细胞（RBC）偏高(5.91X10^12/L);平均红细胞体积(MCV)偏低(81.90fL);单核细胞百分比偏低(0.10%);淋巴细胞绝对值偏高(3.55X10^9/L);单核细胞绝对值偏低(0.01X10^9/L);
★  肝功13项:总胆红素(TBIL)偏高(23.43umol/L);直接胆红素(DBIL)偏高(8.90umol/L);间接胆红素(IBIL)偏高(14.53umol/L);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唐文平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血常规:血小板（PLT）偏低(124.00X10^9/L);单核细胞百分比偏高(11.00%);单核细胞绝对值偏高(0.64X10^9/L);血小板分布宽度偏高(20.60fL);血小板平均体积偏高(13.70fL);大血小板比率偏高(55.20%);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邓柏超</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本次检查结果:双耳听力障碍。</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不宜从事接触噪声作业。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吴远奎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未发现职业禁忌证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视力:0.3;0.4
★  血常规:白细胞（WBC）偏高(10.72X10^9/L);嗜酸细胞百分比偏低(0.20%);单核细胞绝对值偏高(0.75X10^9/L);中性粒细胞绝对值偏高(7.23X10^9/L);
★  彩色B超(肝胆脾):脂肪肝声像;肝钙化灶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戚容华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视力:0.6;0.6
★  血常规:红细胞（RBC）偏高(5.18X10^12/L);血红蛋白（Hb）偏低(106.00g/L);红细胞压积偏低(33.60%);平均红细胞体积(MCV)偏低(64.90fL);平均红细胞Hb量偏低(20.50pg);平均红细胞Hb浓度偏低(315.00g/L);中性粒细胞百分比偏高(80.44%);嗜酸细胞百分比偏低(0.14%);嗜酸细胞绝对值偏低(0.01X10^9/L);红细胞分布宽度（SD）偏低(35.40f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李娅娟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纯音测听:右耳语频听阈正常，高频听阈提高；左耳正常听力曲线
★  血常规:红细胞压积偏低(34.50%);单核细胞百分比偏低(0.24%);单核细胞绝对值偏低(0.01X10^9/L);
★  尿11项:隐血偏高(++Cells/uL);胆红素偏高(+umol/L);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黄远兴</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所检项目未见明显异常</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唐军权</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视力:0.3;0.25
★  血常规:单核细胞百分比偏低(0.24%);单核细胞绝对值偏低(0.01X10^9/L);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杨鑫</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视力:0.8
★  血常规:单核细胞百分比偏低(0.24%);单核细胞绝对值偏低(0.01X10^9/L);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王国柱</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血常规:淋巴细胞百分比偏低(18.04%);嗜酸细胞百分比偏低(0.30%);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职业性体格检查:血压110/58  mmHg
★  视力:0.6
★  血常规:单核细胞百分比偏低(1.54%);淋巴细胞绝对值偏高(3.42X10^9/L);单核细胞绝对值偏低(0.09X10^9/L);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罗丁</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视力:0.4;0.3
★  血常规:红细胞（RBC）偏低(4.16X10^12/L);平均红细胞体积(MCV)偏高(101.20fL);单核细胞百分比偏低(0.10%);单核细胞绝对值偏低(0.01X10^9/L);血小板分布宽度偏低(9.90fL);
★  尿11项:胆红素偏高(+umol/L);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acbbeaffecde4bed"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755d67e7cf9b47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广州小糸车灯有限公司                                粤职检20210520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755d67e7cf9b4738" /><Relationship Type="http://schemas.openxmlformats.org/officeDocument/2006/relationships/image" Target="/word/media/image1.jpeg" Id="Racbbeaffecde4bed"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