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广州医科大学附属第二医院</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2019/03/11</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2021/05/14</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广州医科大学附属第二医院</w:t>
      </w:r>
      <w:r w:rsidRPr="00EB7D8F" w:rsidR="007A1D0F">
        <w:rPr>
          <w:rFonts w:hint="eastAsia" w:ascii="宋体" w:hAnsi="宋体" w:eastAsia="宋体"/>
          <w:szCs w:val="21"/>
        </w:rPr>
        <w:t>有限公司接触有害作业的</w:t>
      </w:r>
      <w:r w:rsidR="00BF6C03">
        <w:rPr>
          <w:rFonts w:hint="eastAsia" w:ascii="宋体" w:hAnsi="宋体" w:eastAsia="宋体"/>
          <w:szCs w:val="21"/>
        </w:rPr>
        <w:t>24</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广州医科大学附属第二医院</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广州医科大学附属第二医院</w:t>
      </w:r>
      <w:r w:rsidRPr="00B16746">
        <w:rPr>
          <w:rFonts w:hint="eastAsia" w:ascii="宋体" w:hAnsi="宋体" w:eastAsia="宋体"/>
          <w:sz w:val="24"/>
        </w:rPr>
        <w:t>员工在从事</w:t>
      </w:r>
      <w:r w:rsidRPr="00B16746" w:rsidR="0073673E">
        <w:rPr>
          <w:rFonts w:hint="eastAsia" w:ascii="宋体" w:hAnsi="宋体" w:eastAsia="宋体"/>
          <w:sz w:val="24"/>
        </w:rPr>
        <w:t>电离辐射</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广州医科大学附属第二医院</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24</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21</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87.0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1</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23</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电离辐射</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24</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17</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14</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检出心电图异常4人，占受检人数的 28.6 %;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18</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检出肝脏异常3人，占受检人数的 16.7 %;检出脾脏异常1人，占受检人数的 5.6 %;检出胆囊异常2人，占受检人数的 11.1 %;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21</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广州医科大学附属第二医院</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电离辐射</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21</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不详</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3</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19.0%</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81.0%</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14</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14</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14</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17</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10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58</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17</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17</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20</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10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20</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14</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14</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14</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14</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4</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22</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18</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18</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18</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18</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18</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21</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21</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21</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0</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0</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0</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21</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21</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21</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21</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21</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21</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21</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21</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21</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21</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21</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0</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21</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21</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9839d8ba46be4d5e"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9c37409a39904f1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9c37409a39904f1d" /><Relationship Type="http://schemas.openxmlformats.org/officeDocument/2006/relationships/image" Target="/word/media/image1.jpeg" Id="R9839d8ba46be4d5e"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