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0E92B" w14:textId="77777777" w:rsidR="008B3B52" w:rsidRPr="000F4C2C" w:rsidRDefault="008B3B52" w:rsidP="008B3B52">
      <w:pPr>
        <w:spacing w:line="360" w:lineRule="auto"/>
        <w:rPr>
          <w:rFonts w:ascii="黑体" w:eastAsia="黑体" w:hAnsi="黑体"/>
          <w:b/>
          <w:sz w:val="28"/>
          <w:szCs w:val="28"/>
        </w:rPr>
      </w:pPr>
      <w:r>
        <w:rPr>
          <w:rFonts w:ascii="黑体" w:eastAsia="黑体" w:hAnsi="黑体" w:hint="eastAsia"/>
          <w:b/>
          <w:sz w:val="28"/>
          <w:szCs w:val="28"/>
        </w:rPr>
        <w:t>附件4：</w:t>
      </w:r>
      <w:r w:rsidRPr="000F4C2C">
        <w:rPr>
          <w:rFonts w:ascii="黑体" w:eastAsia="黑体" w:hAnsi="黑体" w:hint="eastAsia"/>
          <w:b/>
          <w:sz w:val="28"/>
          <w:szCs w:val="28"/>
        </w:rPr>
        <w:t>报告说明</w:t>
      </w:r>
    </w:p>
    <w:p w14:paraId="276DC30E" w14:textId="2EF76822" w:rsidR="008B3B52" w:rsidRPr="006E77AB" w:rsidRDefault="006E77AB" w:rsidP="00355D61">
      <w:pPr>
        <w:autoSpaceDE w:val="0"/>
        <w:autoSpaceDN w:val="0"/>
        <w:adjustRightInd w:val="0"/>
        <w:spacing w:line="360" w:lineRule="auto"/>
        <w:jc w:val="left"/>
        <w:rPr>
          <w:rFonts w:ascii="宋体" w:hAnsi="宋体"/>
          <w:b/>
          <w:color w:val="000000"/>
          <w:szCs w:val="21"/>
        </w:rPr>
      </w:pPr>
      <w:r>
        <w:rPr>
          <w:rFonts w:ascii="宋体" w:hAnsi="宋体" w:hint="eastAsia"/>
          <w:b/>
          <w:color w:val="000000"/>
          <w:szCs w:val="21"/>
        </w:rPr>
        <w:t>一</w:t>
      </w:r>
      <w:r w:rsidR="00355D61">
        <w:rPr>
          <w:rFonts w:ascii="宋体" w:hAnsi="宋体" w:hint="eastAsia"/>
          <w:b/>
          <w:color w:val="000000"/>
          <w:szCs w:val="21"/>
        </w:rPr>
        <w:t>、</w:t>
      </w:r>
      <w:r w:rsidR="008B3B52" w:rsidRPr="006E77AB">
        <w:rPr>
          <w:rFonts w:ascii="宋体" w:hAnsi="宋体" w:hint="eastAsia"/>
          <w:b/>
          <w:color w:val="000000"/>
          <w:szCs w:val="21"/>
        </w:rPr>
        <w:t>目标疾病</w:t>
      </w:r>
    </w:p>
    <w:p w14:paraId="38E0BEE9" w14:textId="77777777" w:rsidR="008B3B52" w:rsidRDefault="008B3B52" w:rsidP="008B3B52">
      <w:pPr>
        <w:autoSpaceDE w:val="0"/>
        <w:autoSpaceDN w:val="0"/>
        <w:adjustRightInd w:val="0"/>
        <w:spacing w:line="360" w:lineRule="auto"/>
        <w:ind w:firstLineChars="250" w:firstLine="525"/>
        <w:jc w:val="left"/>
        <w:rPr>
          <w:rFonts w:ascii="宋体" w:hAnsi="宋体" w:cs="宋体"/>
          <w:kern w:val="0"/>
          <w:szCs w:val="21"/>
        </w:rPr>
      </w:pPr>
      <w:r>
        <w:rPr>
          <w:rFonts w:ascii="宋体" w:hAnsi="宋体" w:hint="eastAsia"/>
          <w:szCs w:val="21"/>
        </w:rPr>
        <w:t>目标疾病包括</w:t>
      </w:r>
      <w:r>
        <w:rPr>
          <w:rFonts w:ascii="宋体" w:hAnsi="宋体" w:cs="宋体" w:hint="eastAsia"/>
          <w:kern w:val="0"/>
          <w:szCs w:val="21"/>
        </w:rPr>
        <w:t>职业禁忌证及职业病。</w:t>
      </w:r>
    </w:p>
    <w:p w14:paraId="2108CDC8" w14:textId="77777777" w:rsidR="008B3B52" w:rsidRDefault="008B3B52" w:rsidP="008B3B52">
      <w:pPr>
        <w:spacing w:line="360" w:lineRule="auto"/>
        <w:ind w:leftChars="50" w:left="105" w:rightChars="-39" w:right="-82" w:firstLineChars="225" w:firstLine="473"/>
        <w:rPr>
          <w:rFonts w:ascii="宋体" w:hAnsi="宋体" w:cs="宋体"/>
          <w:kern w:val="0"/>
          <w:szCs w:val="21"/>
        </w:rPr>
      </w:pPr>
      <w:r>
        <w:rPr>
          <w:rFonts w:ascii="宋体" w:hAnsi="宋体" w:cs="宋体" w:hint="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14:paraId="69CB4307" w14:textId="77777777" w:rsidR="008B3B52" w:rsidRDefault="008B3B52" w:rsidP="008B3B52">
      <w:pPr>
        <w:autoSpaceDE w:val="0"/>
        <w:autoSpaceDN w:val="0"/>
        <w:adjustRightInd w:val="0"/>
        <w:spacing w:line="360" w:lineRule="auto"/>
        <w:ind w:leftChars="50" w:left="105" w:firstLineChars="225" w:firstLine="473"/>
        <w:jc w:val="left"/>
        <w:rPr>
          <w:rFonts w:ascii="宋体" w:hAnsi="宋体" w:cs="宋体"/>
          <w:kern w:val="0"/>
          <w:szCs w:val="21"/>
        </w:rPr>
      </w:pPr>
      <w:r>
        <w:rPr>
          <w:rFonts w:ascii="宋体" w:hAnsi="宋体" w:cs="宋体" w:hint="eastAsia"/>
          <w:kern w:val="0"/>
          <w:szCs w:val="21"/>
        </w:rPr>
        <w:t>职业病是指企业、事业单位和个体经济组织的劳动者在职业活动中，因接触粉尘、放射性物质和其它有毒、有害物质等因素而引起的疾病。</w:t>
      </w:r>
    </w:p>
    <w:p w14:paraId="35D7476C" w14:textId="77777777" w:rsidR="008B3B52" w:rsidRDefault="008B3B52" w:rsidP="008B3B52">
      <w:pPr>
        <w:spacing w:line="360" w:lineRule="auto"/>
        <w:ind w:leftChars="50" w:left="105" w:rightChars="-39" w:right="-82" w:firstLineChars="225" w:firstLine="473"/>
        <w:rPr>
          <w:rFonts w:ascii="宋体" w:hAnsi="宋体"/>
          <w:szCs w:val="21"/>
        </w:rPr>
      </w:pPr>
      <w:r>
        <w:rPr>
          <w:rFonts w:ascii="宋体" w:hAnsi="宋体" w:hint="eastAsia"/>
          <w:szCs w:val="21"/>
        </w:rPr>
        <w:t>本次主要职业危害因素为X射线、γ射线、中子、电离辐射、噪声、镉等，其职业健康监护目标疾病如下：</w:t>
      </w:r>
    </w:p>
    <w:p w14:paraId="1EDBD8F2" w14:textId="77777777" w:rsidR="008B3B52" w:rsidRDefault="008B3B52" w:rsidP="008B3B52">
      <w:pPr>
        <w:autoSpaceDE w:val="0"/>
        <w:autoSpaceDN w:val="0"/>
        <w:adjustRightInd w:val="0"/>
        <w:spacing w:line="360" w:lineRule="auto"/>
        <w:jc w:val="left"/>
        <w:rPr>
          <w:rFonts w:ascii="宋体" w:hAnsi="宋体" w:cs="TimesNewRomanPSMT"/>
          <w:color w:val="000000"/>
          <w:kern w:val="0"/>
          <w:szCs w:val="21"/>
        </w:rPr>
      </w:pPr>
      <w:r>
        <w:rPr>
          <w:rFonts w:ascii="宋体" w:hAnsi="宋体" w:hint="eastAsia"/>
          <w:b/>
          <w:szCs w:val="21"/>
        </w:rPr>
        <w:t>1、</w:t>
      </w:r>
      <w:r>
        <w:rPr>
          <w:rFonts w:ascii="宋体" w:hAnsi="宋体" w:cs="宋体" w:hint="eastAsia"/>
          <w:b/>
          <w:color w:val="000000"/>
          <w:kern w:val="0"/>
          <w:szCs w:val="21"/>
        </w:rPr>
        <w:t>电离辐射作业职业健康监护目标疾病：</w:t>
      </w:r>
      <w:r>
        <w:rPr>
          <w:rFonts w:ascii="宋体" w:hAnsi="宋体" w:cs="TimesNewRomanPSMT" w:hint="eastAsia"/>
          <w:color w:val="000000"/>
          <w:kern w:val="0"/>
          <w:szCs w:val="21"/>
        </w:rPr>
        <w:t>参照GBZ98-2017 标准中第5条、第六条：放射工作人员的健康要求、</w:t>
      </w:r>
      <w:proofErr w:type="gramStart"/>
      <w:r>
        <w:rPr>
          <w:rFonts w:ascii="宋体" w:hAnsi="宋体" w:cs="TimesNewRomanPSMT" w:hint="eastAsia"/>
          <w:color w:val="000000"/>
          <w:kern w:val="0"/>
          <w:szCs w:val="21"/>
        </w:rPr>
        <w:t>不</w:t>
      </w:r>
      <w:proofErr w:type="gramEnd"/>
      <w:r>
        <w:rPr>
          <w:rFonts w:ascii="宋体" w:hAnsi="宋体" w:cs="TimesNewRomanPSMT" w:hint="eastAsia"/>
          <w:color w:val="000000"/>
          <w:kern w:val="0"/>
          <w:szCs w:val="21"/>
        </w:rPr>
        <w:t>应从事放射工作的指</w:t>
      </w:r>
      <w:proofErr w:type="gramStart"/>
      <w:r>
        <w:rPr>
          <w:rFonts w:ascii="宋体" w:hAnsi="宋体" w:cs="TimesNewRomanPSMT" w:hint="eastAsia"/>
          <w:color w:val="000000"/>
          <w:kern w:val="0"/>
          <w:szCs w:val="21"/>
        </w:rPr>
        <w:t>征分别</w:t>
      </w:r>
      <w:proofErr w:type="gramEnd"/>
      <w:r>
        <w:rPr>
          <w:rFonts w:ascii="宋体" w:hAnsi="宋体" w:cs="TimesNewRomanPSMT" w:hint="eastAsia"/>
          <w:color w:val="000000"/>
          <w:kern w:val="0"/>
          <w:szCs w:val="21"/>
        </w:rPr>
        <w:t>为：</w:t>
      </w:r>
    </w:p>
    <w:p w14:paraId="731E862A" w14:textId="77777777" w:rsidR="008B3B52" w:rsidRDefault="008B3B52"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hAnsi="宋体" w:cs="TimesNewRomanPSMT" w:hint="eastAsia"/>
          <w:color w:val="000000"/>
          <w:kern w:val="0"/>
          <w:szCs w:val="21"/>
        </w:rPr>
        <w:t>1.1  放射工作人员的健康要求</w:t>
      </w:r>
    </w:p>
    <w:p w14:paraId="750DF9AF" w14:textId="77777777" w:rsidR="008B3B52" w:rsidRDefault="008B3B52"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hAnsi="宋体" w:cs="TimesNewRomanPSMT" w:hint="eastAsia"/>
          <w:color w:val="000000"/>
          <w:kern w:val="0"/>
          <w:szCs w:val="21"/>
        </w:rPr>
        <w:t>1.1.1 人体外形正常，不影响正常操作。</w:t>
      </w:r>
    </w:p>
    <w:p w14:paraId="3430954D" w14:textId="77777777" w:rsidR="008B3B52" w:rsidRDefault="008B3B52"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hAnsi="宋体" w:cs="TimesNewRomanPSMT" w:hint="eastAsia"/>
          <w:color w:val="000000"/>
          <w:kern w:val="0"/>
          <w:szCs w:val="21"/>
        </w:rPr>
        <w:t>1.1.2 正常的精神状态和稳定的情绪，以及正常的语言表达和书写能力；正常的神经系统功能。</w:t>
      </w:r>
    </w:p>
    <w:p w14:paraId="46DC8603" w14:textId="77777777" w:rsidR="008B3B52" w:rsidRDefault="008B3B52"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hAnsi="宋体" w:cs="TimesNewRomanPSMT" w:hint="eastAsia"/>
          <w:color w:val="000000"/>
          <w:kern w:val="0"/>
          <w:szCs w:val="21"/>
        </w:rPr>
        <w:t>1.1.3 内科、外科和皮肤科检查正常，不影响正常操作。</w:t>
      </w:r>
    </w:p>
    <w:p w14:paraId="150DEF2B" w14:textId="77777777" w:rsidR="008B3B52" w:rsidRDefault="008B3B52"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hAnsi="宋体" w:cs="TimesNewRomanPSMT" w:hint="eastAsia"/>
          <w:color w:val="000000"/>
          <w:kern w:val="0"/>
          <w:szCs w:val="21"/>
        </w:rPr>
        <w:t>1.1.4 正常的听觉功能。</w:t>
      </w:r>
    </w:p>
    <w:p w14:paraId="529D0270" w14:textId="77777777" w:rsidR="008B3B52" w:rsidRDefault="008B3B52"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hAnsi="宋体" w:cs="TimesNewRomanPSMT" w:hint="eastAsia"/>
          <w:color w:val="000000"/>
          <w:kern w:val="0"/>
          <w:szCs w:val="21"/>
        </w:rPr>
        <w:t>1.1.5 正常的视力，矫正视力不应低于5.0，无红绿色盲。</w:t>
      </w:r>
    </w:p>
    <w:p w14:paraId="6C7356E8" w14:textId="77777777" w:rsidR="008B3B52" w:rsidRDefault="008B3B52"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hAnsi="宋体" w:cs="TimesNewRomanPSMT" w:hint="eastAsia"/>
          <w:color w:val="000000"/>
          <w:kern w:val="0"/>
          <w:szCs w:val="21"/>
        </w:rPr>
        <w:t>1.1.6 正常的造血功能，血细胞分析（静脉血仪器检测）各指标均在参考区间内。</w:t>
      </w:r>
    </w:p>
    <w:p w14:paraId="1FD9E26B" w14:textId="77777777" w:rsidR="008B3B52" w:rsidRDefault="008B3B52"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hAnsi="宋体" w:cs="TimesNewRomanPSMT" w:hint="eastAsia"/>
          <w:color w:val="000000"/>
          <w:kern w:val="0"/>
          <w:szCs w:val="21"/>
        </w:rPr>
        <w:t>1.1.7 甲状腺功能正常。</w:t>
      </w:r>
    </w:p>
    <w:p w14:paraId="04CFD826" w14:textId="77777777" w:rsidR="008B3B52" w:rsidRDefault="008B3B52"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hAnsi="宋体" w:cs="TimesNewRomanPSMT" w:hint="eastAsia"/>
          <w:color w:val="000000"/>
          <w:kern w:val="0"/>
          <w:szCs w:val="21"/>
        </w:rPr>
        <w:t>1.1.8 外周血淋巴细胞染色体畸变率和微核率在本实验室正常参考值范围内。</w:t>
      </w:r>
    </w:p>
    <w:p w14:paraId="34A3E2E7" w14:textId="77777777" w:rsidR="008B3B52" w:rsidRDefault="008B3B52"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hAnsi="宋体" w:cs="TimesNewRomanPSMT" w:hint="eastAsia"/>
          <w:color w:val="000000"/>
          <w:kern w:val="0"/>
          <w:szCs w:val="21"/>
        </w:rPr>
        <w:t>1.2、</w:t>
      </w:r>
      <w:proofErr w:type="gramStart"/>
      <w:r>
        <w:rPr>
          <w:rFonts w:ascii="宋体" w:hAnsi="宋体" w:cs="TimesNewRomanPSMT" w:hint="eastAsia"/>
          <w:color w:val="000000"/>
          <w:kern w:val="0"/>
          <w:szCs w:val="21"/>
        </w:rPr>
        <w:t>不</w:t>
      </w:r>
      <w:proofErr w:type="gramEnd"/>
      <w:r>
        <w:rPr>
          <w:rFonts w:ascii="宋体" w:hAnsi="宋体" w:cs="TimesNewRomanPSMT" w:hint="eastAsia"/>
          <w:color w:val="000000"/>
          <w:kern w:val="0"/>
          <w:szCs w:val="21"/>
        </w:rPr>
        <w:t>应从事放射工作的指征</w:t>
      </w:r>
    </w:p>
    <w:p w14:paraId="0E447B22" w14:textId="77777777" w:rsidR="008B3B52" w:rsidRDefault="008B3B52"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hAnsi="宋体" w:cs="TimesNewRomanPSMT" w:hint="eastAsia"/>
          <w:color w:val="000000"/>
          <w:kern w:val="0"/>
          <w:szCs w:val="21"/>
        </w:rPr>
        <w:t>1.2.1 严重的视觉和（或）听力障碍，例如：伴有明显视力障碍的眼晶体混浊或高度近视、色盲、立体感消失、耳聋等。</w:t>
      </w:r>
    </w:p>
    <w:p w14:paraId="74347834" w14:textId="77777777" w:rsidR="008B3B52" w:rsidRDefault="008B3B52" w:rsidP="008B3B52">
      <w:pPr>
        <w:autoSpaceDE w:val="0"/>
        <w:autoSpaceDN w:val="0"/>
        <w:adjustRightInd w:val="0"/>
        <w:spacing w:line="360" w:lineRule="auto"/>
        <w:ind w:firstLineChars="172" w:firstLine="361"/>
        <w:jc w:val="left"/>
        <w:rPr>
          <w:rFonts w:ascii="宋体" w:hAnsi="宋体" w:cs="TimesNewRomanPSMT"/>
          <w:color w:val="000000"/>
          <w:kern w:val="0"/>
          <w:szCs w:val="21"/>
        </w:rPr>
      </w:pPr>
      <w:r>
        <w:rPr>
          <w:rFonts w:ascii="宋体" w:hAnsi="宋体" w:cs="TimesNewRomanPSMT" w:hint="eastAsia"/>
          <w:color w:val="000000"/>
          <w:kern w:val="0"/>
          <w:szCs w:val="21"/>
        </w:rPr>
        <w:t>1.2.2 严重和反复发作的疾病，使之丧失部分工作能力，例如：严重造血器官疾病、失代偿功能的慢性肺部疾患、未能控制的糖尿病、未能控制的癫痫和暴露部位的严重皮肤疾病等。</w:t>
      </w:r>
    </w:p>
    <w:p w14:paraId="1BF44D37" w14:textId="77777777" w:rsidR="008B3B52" w:rsidRDefault="008B3B52" w:rsidP="008B3B52">
      <w:pPr>
        <w:spacing w:line="360" w:lineRule="auto"/>
        <w:ind w:rightChars="-39" w:right="-82"/>
        <w:rPr>
          <w:rFonts w:ascii="宋体" w:hAnsi="宋体" w:cs="TimesNewRomanPSMT"/>
          <w:b/>
          <w:kern w:val="0"/>
          <w:szCs w:val="21"/>
        </w:rPr>
      </w:pPr>
      <w:r>
        <w:rPr>
          <w:rFonts w:ascii="宋体" w:hAnsi="宋体" w:hint="eastAsia"/>
          <w:b/>
          <w:szCs w:val="21"/>
        </w:rPr>
        <w:t>2、噪声作业职业健康监护</w:t>
      </w:r>
      <w:r>
        <w:rPr>
          <w:rFonts w:ascii="宋体" w:hAnsi="宋体" w:cs="宋体" w:hint="eastAsia"/>
          <w:b/>
          <w:kern w:val="0"/>
          <w:szCs w:val="21"/>
        </w:rPr>
        <w:t>目标疾病</w:t>
      </w:r>
      <w:r>
        <w:rPr>
          <w:rFonts w:ascii="宋体" w:hAnsi="宋体" w:cs="TimesNewRomanPSMT" w:hint="eastAsia"/>
          <w:b/>
          <w:kern w:val="0"/>
          <w:szCs w:val="21"/>
        </w:rPr>
        <w:t>:</w:t>
      </w:r>
    </w:p>
    <w:p w14:paraId="0643073C" w14:textId="77777777" w:rsidR="008B3B52" w:rsidRDefault="008B3B52" w:rsidP="008B3B52">
      <w:pPr>
        <w:spacing w:line="360" w:lineRule="auto"/>
        <w:ind w:rightChars="-39" w:right="-82"/>
        <w:rPr>
          <w:rFonts w:ascii="宋体" w:hAnsi="宋体" w:cs="宋体"/>
          <w:kern w:val="0"/>
          <w:szCs w:val="21"/>
        </w:rPr>
      </w:pPr>
      <w:r w:rsidRPr="006A23BE">
        <w:rPr>
          <w:rFonts w:ascii="宋体" w:hAnsi="宋体" w:cs="TimesNewRomanPSMT" w:hint="eastAsia"/>
          <w:kern w:val="0"/>
          <w:szCs w:val="21"/>
        </w:rPr>
        <w:t>2.1</w:t>
      </w:r>
      <w:r>
        <w:rPr>
          <w:rFonts w:ascii="宋体" w:hAnsi="宋体" w:cs="宋体" w:hint="eastAsia"/>
          <w:kern w:val="0"/>
          <w:szCs w:val="21"/>
        </w:rPr>
        <w:t>职业病:职业</w:t>
      </w:r>
      <w:r>
        <w:rPr>
          <w:rFonts w:ascii="宋体" w:hAnsi="宋体" w:cs="TimesNewRomanPSMT" w:hint="eastAsia"/>
          <w:kern w:val="0"/>
          <w:szCs w:val="21"/>
        </w:rPr>
        <w:t>性噪声聋</w:t>
      </w:r>
      <w:r>
        <w:rPr>
          <w:rFonts w:ascii="宋体" w:hAnsi="宋体" w:cs="宋体" w:hint="eastAsia"/>
          <w:kern w:val="0"/>
          <w:szCs w:val="21"/>
        </w:rPr>
        <w:t>。</w:t>
      </w:r>
    </w:p>
    <w:p w14:paraId="70A2969A" w14:textId="54792A84" w:rsidR="001201C6" w:rsidRPr="008B3B52" w:rsidRDefault="008B3B52" w:rsidP="008B3B52">
      <w:r>
        <w:rPr>
          <w:rFonts w:ascii="宋体" w:hAnsi="宋体" w:cs="宋体" w:hint="eastAsia"/>
          <w:kern w:val="0"/>
          <w:szCs w:val="21"/>
        </w:rPr>
        <w:t>2.2职业禁忌证：</w:t>
      </w:r>
      <w:r>
        <w:rPr>
          <w:rFonts w:ascii="宋体" w:hAnsi="宋体" w:cs="TimesNewRomanPSMT" w:hint="eastAsia"/>
          <w:kern w:val="0"/>
          <w:szCs w:val="21"/>
        </w:rPr>
        <w:t xml:space="preserve">(1) </w:t>
      </w:r>
      <w:r>
        <w:rPr>
          <w:rFonts w:ascii="宋体" w:hAnsi="宋体" w:cs="宋体" w:hint="eastAsia"/>
          <w:kern w:val="0"/>
          <w:szCs w:val="21"/>
        </w:rPr>
        <w:t>各种原因引起永久性感音神经性听力损失（</w:t>
      </w:r>
      <w:r>
        <w:rPr>
          <w:rFonts w:ascii="宋体" w:hAnsi="宋体" w:cs="TimesNewRomanPSMT" w:hint="eastAsia"/>
          <w:kern w:val="0"/>
          <w:szCs w:val="21"/>
        </w:rPr>
        <w:t>500Hz</w:t>
      </w:r>
      <w:r>
        <w:rPr>
          <w:rFonts w:ascii="宋体" w:hAnsi="宋体" w:cs="宋体" w:hint="eastAsia"/>
          <w:kern w:val="0"/>
          <w:szCs w:val="21"/>
        </w:rPr>
        <w:t>、</w:t>
      </w:r>
      <w:r>
        <w:rPr>
          <w:rFonts w:ascii="宋体" w:hAnsi="宋体" w:cs="TimesNewRomanPSMT" w:hint="eastAsia"/>
          <w:kern w:val="0"/>
          <w:szCs w:val="21"/>
        </w:rPr>
        <w:t xml:space="preserve">1000Hz </w:t>
      </w:r>
      <w:r>
        <w:rPr>
          <w:rFonts w:ascii="宋体" w:hAnsi="宋体" w:cs="宋体" w:hint="eastAsia"/>
          <w:kern w:val="0"/>
          <w:szCs w:val="21"/>
        </w:rPr>
        <w:t>和</w:t>
      </w:r>
      <w:r>
        <w:rPr>
          <w:rFonts w:ascii="宋体" w:hAnsi="宋体" w:cs="TimesNewRomanPSMT" w:hint="eastAsia"/>
          <w:kern w:val="0"/>
          <w:szCs w:val="21"/>
        </w:rPr>
        <w:t xml:space="preserve">2000Hz </w:t>
      </w:r>
      <w:r>
        <w:rPr>
          <w:rFonts w:ascii="宋体" w:hAnsi="宋体" w:cs="宋体" w:hint="eastAsia"/>
          <w:kern w:val="0"/>
          <w:szCs w:val="21"/>
        </w:rPr>
        <w:t>中任</w:t>
      </w:r>
      <w:proofErr w:type="gramStart"/>
      <w:r>
        <w:rPr>
          <w:rFonts w:ascii="宋体" w:hAnsi="宋体" w:cs="宋体" w:hint="eastAsia"/>
          <w:kern w:val="0"/>
          <w:szCs w:val="21"/>
        </w:rPr>
        <w:t>一</w:t>
      </w:r>
      <w:proofErr w:type="gramEnd"/>
      <w:r>
        <w:rPr>
          <w:rFonts w:ascii="宋体" w:hAnsi="宋体" w:cs="宋体" w:hint="eastAsia"/>
          <w:kern w:val="0"/>
          <w:szCs w:val="21"/>
        </w:rPr>
        <w:t>频率的</w:t>
      </w:r>
    </w:p>
    <w:sectPr w:rsidR="001201C6" w:rsidRPr="008B3B52" w:rsidSect="0061001E">
      <w:pgSz w:w="11906" w:h="16838" w:code="9"/>
      <w:pgMar w:top="1440" w:right="748"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ECAA1" w14:textId="77777777" w:rsidR="00DC3DFF" w:rsidRDefault="00DC3DFF" w:rsidP="00A351B8">
      <w:r>
        <w:separator/>
      </w:r>
    </w:p>
  </w:endnote>
  <w:endnote w:type="continuationSeparator" w:id="0">
    <w:p w14:paraId="7DBD6FB7" w14:textId="77777777" w:rsidR="00DC3DFF" w:rsidRDefault="00DC3DFF" w:rsidP="00A3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sig w:usb0="00000003" w:usb1="08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E8D1C" w14:textId="77777777" w:rsidR="00DC3DFF" w:rsidRDefault="00DC3DFF" w:rsidP="00A351B8">
      <w:r>
        <w:separator/>
      </w:r>
    </w:p>
  </w:footnote>
  <w:footnote w:type="continuationSeparator" w:id="0">
    <w:p w14:paraId="572F970E" w14:textId="77777777" w:rsidR="00DC3DFF" w:rsidRDefault="00DC3DFF" w:rsidP="00A35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7"/>
    <w:multiLevelType w:val="multilevel"/>
    <w:tmpl w:val="00000007"/>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E9271AD"/>
    <w:multiLevelType w:val="hybridMultilevel"/>
    <w:tmpl w:val="FE4E8B86"/>
    <w:lvl w:ilvl="0" w:tplc="4808CE40">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E7"/>
    <w:rsid w:val="00086D1E"/>
    <w:rsid w:val="001201C6"/>
    <w:rsid w:val="001A2BF9"/>
    <w:rsid w:val="003172FF"/>
    <w:rsid w:val="00355D61"/>
    <w:rsid w:val="003611E8"/>
    <w:rsid w:val="00384A27"/>
    <w:rsid w:val="00414D07"/>
    <w:rsid w:val="0043761A"/>
    <w:rsid w:val="00540C9F"/>
    <w:rsid w:val="0061001E"/>
    <w:rsid w:val="00616779"/>
    <w:rsid w:val="006E77AB"/>
    <w:rsid w:val="00724A62"/>
    <w:rsid w:val="007339B3"/>
    <w:rsid w:val="007830E7"/>
    <w:rsid w:val="00830C39"/>
    <w:rsid w:val="0085179D"/>
    <w:rsid w:val="008645A3"/>
    <w:rsid w:val="008B3B52"/>
    <w:rsid w:val="008C6278"/>
    <w:rsid w:val="009319EF"/>
    <w:rsid w:val="00A351B8"/>
    <w:rsid w:val="00AA2678"/>
    <w:rsid w:val="00AF31BB"/>
    <w:rsid w:val="00B0526A"/>
    <w:rsid w:val="00BC29D7"/>
    <w:rsid w:val="00C063A6"/>
    <w:rsid w:val="00C81A8D"/>
    <w:rsid w:val="00CB5AA4"/>
    <w:rsid w:val="00CC2B2B"/>
    <w:rsid w:val="00DC3DFF"/>
    <w:rsid w:val="00DE4672"/>
    <w:rsid w:val="00E176E4"/>
    <w:rsid w:val="00F264E0"/>
    <w:rsid w:val="00FE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FAE39"/>
  <w15:chartTrackingRefBased/>
  <w15:docId w15:val="{C758926B-8770-4994-AE19-E8D87306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1B8"/>
    <w:pPr>
      <w:widowControl w:val="0"/>
      <w:jc w:val="both"/>
    </w:pPr>
    <w:rPr>
      <w:rFonts w:ascii="Times New Roman" w:eastAsia="宋体" w:hAnsi="Times New Roman" w:cs="Times New Roman"/>
      <w:szCs w:val="24"/>
    </w:rPr>
  </w:style>
  <w:style w:type="paragraph" w:styleId="2">
    <w:name w:val="heading 2"/>
    <w:basedOn w:val="a"/>
    <w:next w:val="a"/>
    <w:link w:val="21"/>
    <w:qFormat/>
    <w:rsid w:val="00BC29D7"/>
    <w:pPr>
      <w:keepNext/>
      <w:keepLines/>
      <w:spacing w:before="260" w:after="260" w:line="416" w:lineRule="auto"/>
      <w:outlineLvl w:val="1"/>
    </w:pPr>
    <w:rPr>
      <w:rFonts w:ascii="Arial" w:eastAsia="黑体" w:hAnsi="Arial"/>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1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351B8"/>
    <w:rPr>
      <w:sz w:val="18"/>
      <w:szCs w:val="18"/>
    </w:rPr>
  </w:style>
  <w:style w:type="paragraph" w:styleId="a5">
    <w:name w:val="footer"/>
    <w:basedOn w:val="a"/>
    <w:link w:val="a6"/>
    <w:uiPriority w:val="99"/>
    <w:unhideWhenUsed/>
    <w:rsid w:val="00A351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351B8"/>
    <w:rPr>
      <w:sz w:val="18"/>
      <w:szCs w:val="18"/>
    </w:rPr>
  </w:style>
  <w:style w:type="character" w:customStyle="1" w:styleId="20">
    <w:name w:val="标题 2 字符"/>
    <w:basedOn w:val="a0"/>
    <w:uiPriority w:val="9"/>
    <w:semiHidden/>
    <w:rsid w:val="00BC29D7"/>
    <w:rPr>
      <w:rFonts w:asciiTheme="majorHAnsi" w:eastAsiaTheme="majorEastAsia" w:hAnsiTheme="majorHAnsi" w:cstheme="majorBidi"/>
      <w:b/>
      <w:bCs/>
      <w:sz w:val="32"/>
      <w:szCs w:val="32"/>
    </w:rPr>
  </w:style>
  <w:style w:type="character" w:customStyle="1" w:styleId="21">
    <w:name w:val="标题 2 字符1"/>
    <w:link w:val="2"/>
    <w:rsid w:val="00BC29D7"/>
    <w:rPr>
      <w:rFonts w:ascii="Arial" w:eastAsia="黑体" w:hAnsi="Arial" w:cs="Times New Roman"/>
      <w:b/>
      <w:bCs/>
      <w:sz w:val="32"/>
      <w:szCs w:val="32"/>
      <w:lang w:val="x-none" w:eastAsia="x-none"/>
    </w:rPr>
  </w:style>
  <w:style w:type="paragraph" w:styleId="a7">
    <w:name w:val="List Paragraph"/>
    <w:basedOn w:val="a"/>
    <w:uiPriority w:val="34"/>
    <w:qFormat/>
    <w:rsid w:val="006E77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国顺</dc:creator>
  <cp:keywords/>
  <dc:description/>
  <cp:lastModifiedBy>罗 国顺</cp:lastModifiedBy>
  <cp:revision>23</cp:revision>
  <dcterms:created xsi:type="dcterms:W3CDTF">2021-03-23T07:18:00Z</dcterms:created>
  <dcterms:modified xsi:type="dcterms:W3CDTF">2021-03-31T02:40:00Z</dcterms:modified>
</cp:coreProperties>
</file>