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D5B33" w14:textId="77777777" w:rsidR="000563FE" w:rsidRDefault="000563FE" w:rsidP="000563FE">
      <w:pPr>
        <w:spacing w:line="360" w:lineRule="auto"/>
        <w:ind w:rightChars="-39" w:right="-82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纯音气导</w:t>
      </w:r>
      <w:r>
        <w:rPr>
          <w:rFonts w:ascii="宋体" w:hAnsi="宋体" w:hint="eastAsia"/>
          <w:szCs w:val="21"/>
        </w:rPr>
        <w:t>听阈</w:t>
      </w:r>
      <w:r>
        <w:rPr>
          <w:rFonts w:ascii="宋体" w:hAnsi="宋体" w:cs="宋体" w:hint="eastAsia"/>
          <w:kern w:val="0"/>
          <w:szCs w:val="21"/>
        </w:rPr>
        <w:t>＞</w:t>
      </w:r>
      <w:r>
        <w:rPr>
          <w:rFonts w:ascii="宋体" w:hAnsi="宋体" w:cs="TimesNewRomanPSMT" w:hint="eastAsia"/>
          <w:kern w:val="0"/>
          <w:szCs w:val="21"/>
        </w:rPr>
        <w:t>25dBHL</w:t>
      </w:r>
      <w:r>
        <w:rPr>
          <w:rFonts w:ascii="宋体" w:hAnsi="宋体" w:cs="宋体" w:hint="eastAsia"/>
          <w:kern w:val="0"/>
          <w:szCs w:val="21"/>
        </w:rPr>
        <w:t>）；</w:t>
      </w:r>
      <w:r>
        <w:rPr>
          <w:rFonts w:ascii="宋体" w:hAnsi="宋体" w:cs="TimesNewRomanPSMT" w:hint="eastAsia"/>
          <w:kern w:val="0"/>
          <w:szCs w:val="21"/>
        </w:rPr>
        <w:t xml:space="preserve">(2) </w:t>
      </w:r>
      <w:r>
        <w:rPr>
          <w:rFonts w:ascii="宋体" w:hAnsi="宋体" w:cs="宋体" w:hint="eastAsia"/>
          <w:kern w:val="0"/>
          <w:szCs w:val="21"/>
        </w:rPr>
        <w:t>中度以上传导性耳聋；</w:t>
      </w:r>
      <w:r>
        <w:rPr>
          <w:rFonts w:ascii="宋体" w:hAnsi="宋体" w:cs="宋体"/>
          <w:kern w:val="0"/>
          <w:szCs w:val="21"/>
        </w:rPr>
        <w:t>(3)</w:t>
      </w:r>
      <w:r>
        <w:rPr>
          <w:rFonts w:ascii="宋体" w:hAnsi="宋体" w:cs="宋体" w:hint="eastAsia"/>
          <w:kern w:val="0"/>
          <w:szCs w:val="21"/>
        </w:rPr>
        <w:t>双耳高频（3000Hz，4000Hz，6000Hz）平均听阈≥40</w:t>
      </w:r>
      <w:r>
        <w:rPr>
          <w:rFonts w:ascii="宋体" w:hAnsi="宋体" w:cs="TimesNewRomanPSMT" w:hint="eastAsia"/>
          <w:kern w:val="0"/>
          <w:szCs w:val="21"/>
        </w:rPr>
        <w:t xml:space="preserve"> dBHL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46805ADD" w14:textId="77777777" w:rsidR="000563FE" w:rsidRDefault="000563FE" w:rsidP="000563FE">
      <w:pPr>
        <w:autoSpaceDE w:val="0"/>
        <w:autoSpaceDN w:val="0"/>
        <w:adjustRightInd w:val="0"/>
        <w:spacing w:before="12" w:line="360" w:lineRule="auto"/>
        <w:ind w:right="-83"/>
        <w:jc w:val="left"/>
        <w:rPr>
          <w:rFonts w:ascii="仿宋_GB2312" w:eastAsia="仿宋_GB2312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3、</w:t>
      </w:r>
      <w:r>
        <w:rPr>
          <w:rFonts w:ascii="宋体" w:hAnsi="宋体" w:hint="eastAsia"/>
          <w:b/>
          <w:szCs w:val="21"/>
        </w:rPr>
        <w:t>镉作业职业健康监护目标疾病:</w:t>
      </w:r>
      <w:r>
        <w:rPr>
          <w:rFonts w:ascii="仿宋_GB2312" w:eastAsia="仿宋_GB2312" w:hAnsi="宋体" w:cs="宋体" w:hint="eastAsia"/>
          <w:kern w:val="0"/>
          <w:szCs w:val="21"/>
        </w:rPr>
        <w:t xml:space="preserve"> </w:t>
      </w:r>
    </w:p>
    <w:p w14:paraId="452AB7FC" w14:textId="77777777" w:rsidR="000563FE" w:rsidRDefault="000563FE" w:rsidP="000563FE">
      <w:pPr>
        <w:autoSpaceDE w:val="0"/>
        <w:autoSpaceDN w:val="0"/>
        <w:adjustRightInd w:val="0"/>
        <w:spacing w:before="12" w:line="360" w:lineRule="auto"/>
        <w:ind w:right="-83"/>
        <w:jc w:val="left"/>
        <w:rPr>
          <w:rFonts w:ascii="宋体" w:hAnsi="宋体" w:cs="TimesNewRomanPSMT"/>
          <w:kern w:val="0"/>
          <w:szCs w:val="21"/>
        </w:rPr>
      </w:pPr>
      <w:r>
        <w:rPr>
          <w:rFonts w:ascii="仿宋_GB2312" w:eastAsia="仿宋_GB2312" w:hAnsi="宋体" w:cs="宋体" w:hint="eastAsia"/>
          <w:kern w:val="0"/>
          <w:szCs w:val="21"/>
        </w:rPr>
        <w:t xml:space="preserve">3.1 </w:t>
      </w:r>
      <w:r>
        <w:rPr>
          <w:rFonts w:ascii="宋体" w:hAnsi="宋体" w:cs="TimesNewRomanPSMT" w:hint="eastAsia"/>
          <w:kern w:val="0"/>
          <w:szCs w:val="21"/>
        </w:rPr>
        <w:t>职业禁忌证：(1)慢性肾脏疾病；(2) 骨质疏松症；</w:t>
      </w:r>
    </w:p>
    <w:p w14:paraId="12E12760" w14:textId="77777777" w:rsidR="000563FE" w:rsidRDefault="000563FE" w:rsidP="000563FE">
      <w:pPr>
        <w:autoSpaceDE w:val="0"/>
        <w:autoSpaceDN w:val="0"/>
        <w:adjustRightInd w:val="0"/>
        <w:spacing w:before="12" w:line="360" w:lineRule="auto"/>
        <w:ind w:right="-83"/>
        <w:jc w:val="left"/>
        <w:rPr>
          <w:rFonts w:ascii="宋体" w:hAnsi="宋体" w:cs="TimesNewRomanPSMT"/>
          <w:kern w:val="0"/>
          <w:szCs w:val="21"/>
        </w:rPr>
      </w:pPr>
      <w:r>
        <w:rPr>
          <w:rFonts w:ascii="宋体" w:hAnsi="宋体" w:cs="TimesNewRomanPSMT" w:hint="eastAsia"/>
          <w:kern w:val="0"/>
          <w:szCs w:val="21"/>
        </w:rPr>
        <w:t>3.2 职业病：职业性慢性镉中毒。</w:t>
      </w:r>
    </w:p>
    <w:p w14:paraId="62B045C5" w14:textId="46119F18" w:rsidR="000563FE" w:rsidRDefault="000563FE" w:rsidP="003A6143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二、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个体体检结论</w:t>
      </w:r>
    </w:p>
    <w:p w14:paraId="1F7183BD" w14:textId="77777777" w:rsidR="000563FE" w:rsidRDefault="000563FE" w:rsidP="000563FE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根据职业健康检查结果，对劳动者个体的健康状况结论可分为</w:t>
      </w:r>
      <w:r>
        <w:rPr>
          <w:rFonts w:ascii="宋体" w:hAnsi="宋体" w:cs="TimesNewRomanPSMT" w:hint="eastAsia"/>
          <w:color w:val="000000"/>
          <w:kern w:val="0"/>
          <w:szCs w:val="21"/>
        </w:rPr>
        <w:t>5</w:t>
      </w:r>
      <w:r>
        <w:rPr>
          <w:rFonts w:ascii="宋体" w:hAnsi="宋体" w:cs="宋体" w:hint="eastAsia"/>
          <w:color w:val="000000"/>
          <w:kern w:val="0"/>
          <w:szCs w:val="21"/>
        </w:rPr>
        <w:t>种：</w:t>
      </w:r>
    </w:p>
    <w:p w14:paraId="60D7B616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TimesNewRomanPSMT" w:hint="eastAsia"/>
          <w:color w:val="000000"/>
          <w:kern w:val="0"/>
          <w:szCs w:val="21"/>
        </w:rPr>
        <w:t xml:space="preserve">a. </w:t>
      </w:r>
      <w:r>
        <w:rPr>
          <w:rFonts w:ascii="宋体" w:hAnsi="宋体" w:cs="宋体" w:hint="eastAsia"/>
          <w:color w:val="000000"/>
          <w:kern w:val="0"/>
          <w:szCs w:val="21"/>
        </w:rPr>
        <w:t>本次检查项目未见异常－ 本次职业健康检查各项检查指标均在正常范围内。</w:t>
      </w:r>
    </w:p>
    <w:p w14:paraId="4E714E52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TimesNewRomanPSMT" w:hint="eastAsia"/>
          <w:color w:val="000000"/>
          <w:kern w:val="0"/>
          <w:szCs w:val="21"/>
        </w:rPr>
        <w:t xml:space="preserve">b. </w:t>
      </w:r>
      <w:r>
        <w:rPr>
          <w:rFonts w:ascii="宋体" w:hAnsi="宋体" w:cs="宋体" w:hint="eastAsia"/>
          <w:color w:val="000000"/>
          <w:kern w:val="0"/>
          <w:szCs w:val="21"/>
        </w:rPr>
        <w:t>复查－ 检查时发现单项或多项异常，需要复查确定者，应明确复查的内容和时间。</w:t>
      </w:r>
    </w:p>
    <w:p w14:paraId="6BD681F1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TimesNewRomanPSMT" w:hint="eastAsia"/>
          <w:color w:val="000000"/>
          <w:kern w:val="0"/>
          <w:szCs w:val="21"/>
        </w:rPr>
        <w:t xml:space="preserve">c. </w:t>
      </w:r>
      <w:r>
        <w:rPr>
          <w:rFonts w:ascii="宋体" w:hAnsi="宋体" w:cs="宋体" w:hint="eastAsia"/>
          <w:color w:val="000000"/>
          <w:kern w:val="0"/>
          <w:szCs w:val="21"/>
        </w:rPr>
        <w:t>疑似职业病－ 检查发现疑似职业病或可能患有职业病，需要提交职业病诊断机构进一步明确诊断者。</w:t>
      </w:r>
    </w:p>
    <w:p w14:paraId="1F43F8CF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TimesNewRomanPSMT" w:hint="eastAsia"/>
          <w:color w:val="000000"/>
          <w:kern w:val="0"/>
          <w:szCs w:val="21"/>
        </w:rPr>
        <w:t xml:space="preserve">d. </w:t>
      </w:r>
      <w:r>
        <w:rPr>
          <w:rFonts w:ascii="宋体" w:hAnsi="宋体" w:cs="宋体" w:hint="eastAsia"/>
          <w:color w:val="000000"/>
          <w:kern w:val="0"/>
          <w:szCs w:val="21"/>
        </w:rPr>
        <w:t>职业禁忌证－ 检查发现有职业禁忌证的患者，需写明具体疾病名称。</w:t>
      </w:r>
    </w:p>
    <w:p w14:paraId="0DACD33A" w14:textId="77777777" w:rsidR="000563FE" w:rsidRDefault="000563FE" w:rsidP="000563FE">
      <w:pPr>
        <w:spacing w:line="360" w:lineRule="auto"/>
        <w:ind w:rightChars="-39" w:right="-82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TimesNewRomanPSMT" w:hint="eastAsia"/>
          <w:color w:val="000000"/>
          <w:kern w:val="0"/>
          <w:szCs w:val="21"/>
        </w:rPr>
        <w:t xml:space="preserve">e. </w:t>
      </w:r>
      <w:r>
        <w:rPr>
          <w:rFonts w:ascii="宋体" w:hAnsi="宋体" w:cs="宋体" w:hint="eastAsia"/>
          <w:color w:val="000000"/>
          <w:kern w:val="0"/>
          <w:szCs w:val="21"/>
        </w:rPr>
        <w:t>其他疾病或异常－除目标疾病之外的其他疾病或某些检查指标的异常。</w:t>
      </w:r>
    </w:p>
    <w:p w14:paraId="3A300A20" w14:textId="77777777" w:rsidR="000563FE" w:rsidRDefault="000563FE" w:rsidP="000563FE">
      <w:pPr>
        <w:spacing w:line="360" w:lineRule="auto"/>
        <w:ind w:rightChars="-39" w:right="-82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其中必要时是指受检查者有自觉症状（自觉不舒服）或有相关疾病（家族、过敏、既往病史等）时。</w:t>
      </w:r>
    </w:p>
    <w:p w14:paraId="60012DFD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三、处理原则</w:t>
      </w:r>
    </w:p>
    <w:p w14:paraId="284E1DE0" w14:textId="77777777" w:rsidR="000563FE" w:rsidRDefault="000563FE" w:rsidP="000563FE">
      <w:pPr>
        <w:spacing w:line="360" w:lineRule="auto"/>
        <w:ind w:rightChars="-39" w:right="-82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本次检查结果处理按《职业健康监护技术规范》GBZ188-2014办法执行。追踪观察人员需安排统一复查以明确诊断；职业禁忌人员需调离原工作工种；疑似职业病需提请职业病诊断。 </w:t>
      </w:r>
    </w:p>
    <w:p w14:paraId="57DCE17B" w14:textId="77777777" w:rsidR="000563FE" w:rsidRDefault="000563FE" w:rsidP="000563FE">
      <w:pPr>
        <w:spacing w:line="360" w:lineRule="auto"/>
        <w:ind w:rightChars="-39" w:right="-82"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对出现怀疑目标疾病包括</w:t>
      </w:r>
      <w:r>
        <w:rPr>
          <w:rFonts w:ascii="宋体" w:hAnsi="宋体" w:cs="宋体" w:hint="eastAsia"/>
          <w:color w:val="000000"/>
          <w:kern w:val="0"/>
          <w:szCs w:val="21"/>
        </w:rPr>
        <w:t>职业禁忌证及职业病</w:t>
      </w:r>
      <w:r>
        <w:rPr>
          <w:rFonts w:ascii="宋体" w:hAnsi="宋体" w:hint="eastAsia"/>
          <w:color w:val="000000"/>
          <w:szCs w:val="21"/>
        </w:rPr>
        <w:t>，要求复查后以明确诊断，查明是否有职业禁忌或职业健康损害。</w:t>
      </w:r>
    </w:p>
    <w:p w14:paraId="4FC313FC" w14:textId="77777777" w:rsidR="000563FE" w:rsidRDefault="000563FE" w:rsidP="000563FE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四、术语解释</w:t>
      </w:r>
    </w:p>
    <w:p w14:paraId="09E27E65" w14:textId="77777777" w:rsidR="000563FE" w:rsidRDefault="000563FE" w:rsidP="000563FE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7342E1">
        <w:rPr>
          <w:rFonts w:ascii="宋体" w:hAnsi="宋体" w:cs="宋体" w:hint="eastAsia"/>
          <w:b/>
          <w:color w:val="000000"/>
          <w:kern w:val="0"/>
          <w:szCs w:val="21"/>
        </w:rPr>
        <w:t>1．血压</w:t>
      </w:r>
      <w:r>
        <w:rPr>
          <w:rFonts w:ascii="宋体" w:hAnsi="宋体" w:cs="宋体" w:hint="eastAsia"/>
          <w:color w:val="000000"/>
          <w:kern w:val="0"/>
          <w:szCs w:val="21"/>
        </w:rPr>
        <w:t>：采用《2004年中国高血压防治指南》的血压定义和分类，根据非药物状态下收缩压和/或舒张压水平，将血压分为正常、正常高值、1级高血压、2级高血压、3级高血压、单纯收缩期高血压等若干类别。</w:t>
      </w:r>
    </w:p>
    <w:p w14:paraId="5117A5FB" w14:textId="77777777" w:rsidR="000563FE" w:rsidRDefault="000563FE" w:rsidP="000563FE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7342E1">
        <w:rPr>
          <w:rFonts w:ascii="宋体" w:hAnsi="宋体" w:cs="宋体" w:hint="eastAsia"/>
          <w:b/>
          <w:color w:val="000000"/>
          <w:kern w:val="0"/>
          <w:szCs w:val="21"/>
        </w:rPr>
        <w:t>2．器质性心脏病</w:t>
      </w:r>
      <w:r>
        <w:rPr>
          <w:rFonts w:ascii="宋体" w:hAnsi="宋体" w:cs="宋体" w:hint="eastAsia"/>
          <w:color w:val="000000"/>
          <w:kern w:val="0"/>
          <w:szCs w:val="21"/>
        </w:rPr>
        <w:t>:系指客观检查发现有心脏结构或形态学上改变的各种心脏疾病。心脏病是多发病，严重危及人类健康。大多数心脏病是后天性的，如风湿性心脏病、心肌病、心肌炎、冠心病、心内膜炎等，少数是先天性心脏病。体检过程中心脏疾病的诊断主要依据病史、内科查体、心电图检查及胸部X线检查，发现可疑者，可根据实际情况，选择心血管专科就诊取得更可靠的诊断依据。</w:t>
      </w:r>
    </w:p>
    <w:p w14:paraId="13477E5B" w14:textId="77777777" w:rsidR="000563FE" w:rsidRDefault="000563FE" w:rsidP="000563FE">
      <w:pPr>
        <w:widowControl/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7342E1">
        <w:rPr>
          <w:rFonts w:ascii="宋体" w:hAnsi="宋体" w:cs="宋体" w:hint="eastAsia"/>
          <w:b/>
          <w:color w:val="000000"/>
          <w:kern w:val="0"/>
          <w:szCs w:val="21"/>
        </w:rPr>
        <w:t>3．脾功能亢进</w:t>
      </w:r>
      <w:r>
        <w:rPr>
          <w:rFonts w:ascii="宋体" w:hAnsi="宋体" w:cs="宋体" w:hint="eastAsia"/>
          <w:color w:val="000000"/>
          <w:kern w:val="0"/>
          <w:szCs w:val="21"/>
        </w:rPr>
        <w:t>:是一种综合征，可由多种原发或继发病因引起，如感染、淤血（心力衰竭、肝硬化、门静脉或脾静脉阻塞等）、异常免疫反应、骨髓增殖性疾病等。临床特点是脾脏肿大伴有血红细胞、白细胞、血小板单独或同时减少。</w:t>
      </w:r>
    </w:p>
    <w:p w14:paraId="70A2969A" w14:textId="1E03799E" w:rsidR="001201C6" w:rsidRPr="000563FE" w:rsidRDefault="001201C6" w:rsidP="000563FE"/>
    <w:sectPr w:rsidR="001201C6" w:rsidRPr="000563FE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6A67" w14:textId="77777777" w:rsidR="00E45B00" w:rsidRDefault="00E45B00" w:rsidP="00A351B8">
      <w:r>
        <w:separator/>
      </w:r>
    </w:p>
  </w:endnote>
  <w:endnote w:type="continuationSeparator" w:id="0">
    <w:p w14:paraId="786B5044" w14:textId="77777777" w:rsidR="00E45B00" w:rsidRDefault="00E45B00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  <w:sig w:usb0="00000003" w:usb1="080E0000" w:usb2="00000010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77AF" w14:textId="77777777" w:rsidR="00E45B00" w:rsidRDefault="00E45B00" w:rsidP="00A351B8">
      <w:r>
        <w:separator/>
      </w:r>
    </w:p>
  </w:footnote>
  <w:footnote w:type="continuationSeparator" w:id="0">
    <w:p w14:paraId="417B117B" w14:textId="77777777" w:rsidR="00E45B00" w:rsidRDefault="00E45B00" w:rsidP="00A35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563FE"/>
    <w:rsid w:val="00086D1E"/>
    <w:rsid w:val="001201C6"/>
    <w:rsid w:val="001A2BF9"/>
    <w:rsid w:val="003172FF"/>
    <w:rsid w:val="003611E8"/>
    <w:rsid w:val="00384A27"/>
    <w:rsid w:val="003A6143"/>
    <w:rsid w:val="00414D07"/>
    <w:rsid w:val="0043761A"/>
    <w:rsid w:val="00540C9F"/>
    <w:rsid w:val="0061001E"/>
    <w:rsid w:val="00616779"/>
    <w:rsid w:val="00724A62"/>
    <w:rsid w:val="007339B3"/>
    <w:rsid w:val="007830E7"/>
    <w:rsid w:val="00830C39"/>
    <w:rsid w:val="0085179D"/>
    <w:rsid w:val="008645A3"/>
    <w:rsid w:val="008B3B52"/>
    <w:rsid w:val="008C6278"/>
    <w:rsid w:val="009319EF"/>
    <w:rsid w:val="00A351B8"/>
    <w:rsid w:val="00AA2678"/>
    <w:rsid w:val="00AF31BB"/>
    <w:rsid w:val="00B0526A"/>
    <w:rsid w:val="00BC29D7"/>
    <w:rsid w:val="00C81A8D"/>
    <w:rsid w:val="00CB5AA4"/>
    <w:rsid w:val="00CC2B2B"/>
    <w:rsid w:val="00DE4672"/>
    <w:rsid w:val="00E176E4"/>
    <w:rsid w:val="00E45B00"/>
    <w:rsid w:val="00F264E0"/>
    <w:rsid w:val="00F725C7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21</cp:revision>
  <dcterms:created xsi:type="dcterms:W3CDTF">2021-03-23T07:18:00Z</dcterms:created>
  <dcterms:modified xsi:type="dcterms:W3CDTF">2021-03-31T02:38:00Z</dcterms:modified>
</cp:coreProperties>
</file>