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创新药研发项目管理制度</w:t>
      </w:r>
    </w:p>
    <w:p>
      <w:r>
        <w:t>文件编号： </w:t>
      </w:r>
      <w:r>
        <w:rPr>
          <w:rFonts w:hint="eastAsia"/>
        </w:rPr>
        <w:t>KBD</w:t>
      </w:r>
      <w:r>
        <w:t>-PM-001</w:t>
      </w:r>
      <w:r>
        <w:br w:type="textWrapping"/>
      </w:r>
      <w:r>
        <w:t>版本号： V1.0</w:t>
      </w:r>
      <w:r>
        <w:br w:type="textWrapping"/>
      </w:r>
      <w:r>
        <w:t>制定部门： 效率管理部</w:t>
      </w:r>
      <w:r>
        <w:br w:type="textWrapping"/>
      </w:r>
      <w:r>
        <w:t>生效日期： 2026年5月1日</w:t>
      </w:r>
    </w:p>
    <w:p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jc w:val="center"/>
        <w:rPr>
          <w:b/>
          <w:sz w:val="28"/>
        </w:rPr>
      </w:pPr>
      <w:r>
        <w:rPr>
          <w:b/>
          <w:sz w:val="28"/>
        </w:rPr>
        <w:t>第一章 总则</w:t>
      </w:r>
    </w:p>
    <w:p>
      <w:pPr>
        <w:rPr>
          <w:b/>
        </w:rPr>
      </w:pPr>
      <w:r>
        <w:rPr>
          <w:b/>
        </w:rPr>
        <w:t>第一条 目的</w:t>
      </w:r>
    </w:p>
    <w:p>
      <w:r>
        <w:rPr>
          <w:rStyle w:val="16"/>
        </w:rPr>
        <w:t>为规范公司小分子创新药研发项目的全生命周期管理，建立一套从靶点评估、早期发现、临床前研究、临床开发直至新药上市申请（NDA）的标准化作业流程。本制度旨在通过</w:t>
      </w:r>
      <w:r>
        <w:rPr>
          <w:rStyle w:val="16"/>
          <w:bCs/>
        </w:rPr>
        <w:t>科学的决策机制</w:t>
      </w:r>
      <w:r>
        <w:rPr>
          <w:rStyle w:val="16"/>
        </w:rPr>
        <w:t>、</w:t>
      </w:r>
      <w:r>
        <w:rPr>
          <w:rStyle w:val="16"/>
          <w:bCs/>
        </w:rPr>
        <w:t>高效的资源配置</w:t>
      </w:r>
      <w:r>
        <w:rPr>
          <w:rStyle w:val="16"/>
        </w:rPr>
        <w:t>和</w:t>
      </w:r>
      <w:r>
        <w:rPr>
          <w:rStyle w:val="16"/>
          <w:bCs/>
        </w:rPr>
        <w:t>严密的风险防控</w:t>
      </w:r>
      <w:r>
        <w:rPr>
          <w:rStyle w:val="16"/>
        </w:rPr>
        <w:t>，确保项目开发符合国内外药政监管要求，缩短研发周期，降低研发成本，提升项目成功率，从而实现公司创新药管线的战略价值最大化</w:t>
      </w:r>
      <w:r>
        <w:t>。</w:t>
      </w:r>
    </w:p>
    <w:p>
      <w:pPr>
        <w:rPr>
          <w:b/>
        </w:rPr>
      </w:pPr>
      <w:r>
        <w:rPr>
          <w:b/>
        </w:rPr>
        <w:t>第二条 适用范围</w:t>
      </w:r>
    </w:p>
    <w:p>
      <w:pPr>
        <w:rPr>
          <w:b/>
        </w:rPr>
      </w:pPr>
      <w:r>
        <w:rPr>
          <w:rFonts w:hint="eastAsia"/>
        </w:rPr>
        <w:t>本制度适用于公司及其子公司所有自主研发、合作开发或受让的小分子创新药项目。涵盖从正式立项（G0）开始，历经先导化合物确认（G1）、优选化合物提名（G2）、临床候选化合物-PCC（G3）、GLP研究（G</w:t>
      </w:r>
      <w:r>
        <w:t>4</w:t>
      </w:r>
      <w:r>
        <w:rPr>
          <w:rFonts w:hint="eastAsia"/>
        </w:rPr>
        <w:t>）、IND申报（G</w:t>
      </w:r>
      <w:r>
        <w:t>5</w:t>
      </w:r>
      <w:r>
        <w:rPr>
          <w:rFonts w:hint="eastAsia"/>
        </w:rPr>
        <w:t>）、临床Ⅰ/Ⅱ/Ⅲ期（G</w:t>
      </w:r>
      <w:r>
        <w:t>6</w:t>
      </w:r>
      <w:r>
        <w:rPr>
          <w:rFonts w:hint="eastAsia"/>
        </w:rPr>
        <w:t>-G</w:t>
      </w:r>
      <w:r>
        <w:t>8</w:t>
      </w:r>
      <w:r>
        <w:rPr>
          <w:rFonts w:hint="eastAsia"/>
        </w:rPr>
        <w:t>）至NDA获批（G</w:t>
      </w:r>
      <w:r>
        <w:t>9</w:t>
      </w:r>
      <w:r>
        <w:rPr>
          <w:rFonts w:hint="eastAsia"/>
        </w:rPr>
        <w:t>）的完整研发序列。</w:t>
      </w:r>
    </w:p>
    <w:p>
      <w:pPr>
        <w:rPr>
          <w:b/>
        </w:rPr>
      </w:pPr>
      <w:r>
        <w:rPr>
          <w:b/>
        </w:rPr>
        <w:t>第三条 管理原则</w:t>
      </w:r>
    </w:p>
    <w:p>
      <w:r>
        <w:rPr>
          <w:b/>
        </w:rPr>
        <w:t>全生命周期管理</w:t>
      </w:r>
      <w:r>
        <w:t>： </w:t>
      </w:r>
      <w:r>
        <w:rPr>
          <w:rFonts w:hint="eastAsia"/>
        </w:rPr>
        <w:t>建立从项目“诞生”到“退出”的动态档案，确保研发数据的连续性、完整性与可追溯性。</w:t>
      </w:r>
    </w:p>
    <w:p/>
    <w:p>
      <w:r>
        <w:rPr>
          <w:b/>
        </w:rPr>
        <w:t>里程碑节点控制</w:t>
      </w:r>
      <w:r>
        <w:t>： </w:t>
      </w:r>
      <w:r>
        <w:rPr>
          <w:rFonts w:hint="eastAsia"/>
        </w:rPr>
        <w:t>将研发过程划分为多个风险释放点，通过“Go/No Go”评审机制，在关键阶段及时发现并阻断无价值项目的投入。</w:t>
      </w:r>
    </w:p>
    <w:p/>
    <w:p>
      <w:r>
        <w:rPr>
          <w:b/>
        </w:rPr>
        <w:t>分级分类管理：</w:t>
      </w:r>
      <w:r>
        <w:t> </w:t>
      </w:r>
      <w:r>
        <w:rPr>
          <w:rFonts w:hint="eastAsia"/>
        </w:rPr>
        <w:t>依据项目的战略定位、技术难度和竞争格局，实行差异化的授权审批和资源支持力度，保障重大项目进度。</w:t>
      </w:r>
    </w:p>
    <w:p/>
    <w:p>
      <w:r>
        <w:rPr>
          <w:b/>
        </w:rPr>
        <w:t>预算刚性约束</w:t>
      </w:r>
      <w:r>
        <w:t>： </w:t>
      </w:r>
      <w:r>
        <w:rPr>
          <w:rFonts w:hint="eastAsia"/>
        </w:rPr>
        <w:t>实施“无预算不支出”原则，强化预算编制的科学性与执行的严肃性，通过月度监控与预警机制规避预算偏差。</w:t>
      </w:r>
    </w:p>
    <w:p/>
    <w:p>
      <w:r>
        <w:rPr>
          <w:rFonts w:hint="eastAsia"/>
          <w:b/>
        </w:rPr>
        <w:t>多</w:t>
      </w:r>
      <w:r>
        <w:rPr>
          <w:b/>
        </w:rPr>
        <w:t>部门协同</w:t>
      </w:r>
      <w:r>
        <w:t>： </w:t>
      </w:r>
      <w:r>
        <w:rPr>
          <w:rFonts w:hint="eastAsia"/>
        </w:rPr>
        <w:t>构建以项目经理（PM）为核心的矩阵式管理结构，消除“职能孤岛”，实现各业务部门的实时管控与联合作战。</w:t>
      </w:r>
    </w:p>
    <w:p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jc w:val="center"/>
        <w:rPr>
          <w:b/>
          <w:sz w:val="28"/>
        </w:rPr>
      </w:pPr>
      <w:r>
        <w:rPr>
          <w:b/>
          <w:sz w:val="28"/>
        </w:rPr>
        <w:t>第二章 组织架构与职责</w:t>
      </w:r>
    </w:p>
    <w:p>
      <w:pPr>
        <w:rPr>
          <w:b/>
        </w:rPr>
      </w:pPr>
      <w:r>
        <w:rPr>
          <w:b/>
        </w:rPr>
        <w:t>第四条 项目管理决策机构</w:t>
      </w:r>
    </w:p>
    <w:p>
      <w:r>
        <w:rPr>
          <w:b/>
        </w:rPr>
        <w:t>项目管理委员会（PMC）</w:t>
      </w:r>
      <w:r>
        <w:t>： 公司研发项目的最高决策机构。由公司</w:t>
      </w:r>
      <w:r>
        <w:rPr>
          <w:rFonts w:hint="eastAsia"/>
        </w:rPr>
        <w:t>总经理任委员会主席，部门高管任委员会委员。</w:t>
      </w:r>
    </w:p>
    <w:p/>
    <w:p>
      <w:r>
        <w:rPr>
          <w:rFonts w:hint="eastAsia"/>
          <w:b/>
        </w:rPr>
        <w:t>决策权限</w:t>
      </w:r>
      <w:r>
        <w:t>： 负责批准项目立项、关键里程碑（PCC、</w:t>
      </w:r>
      <w:r>
        <w:rPr>
          <w:rFonts w:hint="eastAsia"/>
        </w:rPr>
        <w:t>GLP、</w:t>
      </w:r>
      <w:r>
        <w:t>IND、关键临床节点、NDA）的通过、重大变更、项目终止及预算审批。</w:t>
      </w:r>
      <w:r>
        <w:rPr>
          <w:rFonts w:hint="eastAsia"/>
        </w:rPr>
        <w:t>负责审定项目立项、终止、级别调整、年度总预算及超标预算追加；负责评审G</w:t>
      </w:r>
      <w:r>
        <w:t>3</w:t>
      </w:r>
      <w:r>
        <w:rPr>
          <w:rFonts w:hint="eastAsia"/>
        </w:rPr>
        <w:t>、G</w:t>
      </w:r>
      <w:r>
        <w:t>4</w:t>
      </w:r>
      <w:r>
        <w:rPr>
          <w:rFonts w:hint="eastAsia"/>
        </w:rPr>
        <w:t>、G</w:t>
      </w:r>
      <w:r>
        <w:t>5</w:t>
      </w:r>
      <w:r>
        <w:rPr>
          <w:rFonts w:hint="eastAsia"/>
        </w:rPr>
        <w:t>等关键里程碑节点的交付成果。</w:t>
      </w:r>
    </w:p>
    <w:p/>
    <w:p>
      <w:pPr>
        <w:rPr>
          <w:b/>
        </w:rPr>
      </w:pPr>
      <w:r>
        <w:rPr>
          <w:b/>
        </w:rPr>
        <w:t>第五条 项目执行与支持机构</w:t>
      </w:r>
    </w:p>
    <w:p>
      <w:r>
        <w:rPr>
          <w:b/>
        </w:rPr>
        <w:t>项目经理（PM）</w:t>
      </w:r>
      <w:r>
        <w:t>： </w:t>
      </w:r>
      <w:r>
        <w:rPr>
          <w:rFonts w:hint="eastAsia"/>
        </w:rPr>
        <w:t>负责横向贯通各部门。其</w:t>
      </w:r>
      <w:r>
        <w:t>职责</w:t>
      </w:r>
      <w:r>
        <w:rPr>
          <w:rFonts w:hint="eastAsia"/>
        </w:rPr>
        <w:t>包括</w:t>
      </w:r>
      <w:r>
        <w:t>： 负责</w:t>
      </w:r>
      <w:r>
        <w:rPr>
          <w:rFonts w:hint="eastAsia"/>
        </w:rPr>
        <w:t>协同研发项目组</w:t>
      </w:r>
      <w:r>
        <w:t>制定项目计划、监控项目进度与预算、组织关键节点评审、项目风险</w:t>
      </w:r>
      <w:r>
        <w:rPr>
          <w:rFonts w:hint="eastAsia"/>
        </w:rPr>
        <w:t>预警</w:t>
      </w:r>
      <w:r>
        <w:t>、协调</w:t>
      </w:r>
      <w:r>
        <w:rPr>
          <w:rFonts w:hint="eastAsia"/>
        </w:rPr>
        <w:t>多</w:t>
      </w:r>
      <w:r>
        <w:t>部门资源，并向PMC汇报。</w:t>
      </w:r>
    </w:p>
    <w:p/>
    <w:p>
      <w:r>
        <w:rPr>
          <w:rFonts w:hint="eastAsia"/>
          <w:b/>
        </w:rPr>
        <w:t>研发</w:t>
      </w:r>
      <w:r>
        <w:rPr>
          <w:b/>
        </w:rPr>
        <w:t>项目</w:t>
      </w:r>
      <w:r>
        <w:rPr>
          <w:rFonts w:hint="eastAsia"/>
          <w:b/>
        </w:rPr>
        <w:t>组</w:t>
      </w:r>
      <w:r>
        <w:rPr>
          <w:b/>
        </w:rPr>
        <w:t>（PDT）</w:t>
      </w:r>
      <w:r>
        <w:rPr>
          <w:rFonts w:hint="eastAsia"/>
          <w:b/>
        </w:rPr>
        <w:t>职能</w:t>
      </w:r>
      <w:r>
        <w:t>：</w:t>
      </w:r>
    </w:p>
    <w:p>
      <w:r>
        <w:rPr>
          <w:b/>
        </w:rPr>
        <w:t>新药化学部</w:t>
      </w:r>
      <w:r>
        <w:t>： 负责先导化合物发现与优化、候选化合物（PCC）的化学合成、</w:t>
      </w:r>
      <w:r>
        <w:rPr>
          <w:rFonts w:hint="eastAsia"/>
        </w:rPr>
        <w:t>创新药全生命周期药学CMC研究（包括路线工艺优化、处方和分析方法研究开发；杂质、晶型盐型、稳定性研究，毒理、非临床、临床样品等制备；各阶段申报资料、年报撰写和递交）</w:t>
      </w:r>
      <w:r>
        <w:t>。</w:t>
      </w:r>
    </w:p>
    <w:p>
      <w:r>
        <w:rPr>
          <w:b/>
        </w:rPr>
        <w:t>新药生物部</w:t>
      </w:r>
      <w:r>
        <w:t>： 负责</w:t>
      </w:r>
      <w:r>
        <w:rPr>
          <w:rFonts w:hint="eastAsia"/>
        </w:rPr>
        <w:t>非临床药效、药代和毒理全流程评价。包括：包括体外和体内生物活性评价模型的建立，化合物</w:t>
      </w:r>
      <w:r>
        <w:t>体内外药效学评价</w:t>
      </w:r>
      <w:r>
        <w:rPr>
          <w:rFonts w:hint="eastAsia"/>
        </w:rPr>
        <w:t>筛选、筛选阶段初步药代动力学研究和初步</w:t>
      </w:r>
      <w:r>
        <w:t>安全性评估。</w:t>
      </w:r>
      <w:r>
        <w:rPr>
          <w:rFonts w:hint="eastAsia"/>
        </w:rPr>
        <w:t>IND申报药效、药代和毒理研究，申报资料撰写和修订。</w:t>
      </w:r>
      <w:r>
        <w:t>靶点</w:t>
      </w:r>
      <w:r>
        <w:rPr>
          <w:rFonts w:hint="eastAsia"/>
        </w:rPr>
        <w:t>生物学</w:t>
      </w:r>
      <w:r>
        <w:t>验证、作用机制研究</w:t>
      </w:r>
      <w:r>
        <w:rPr>
          <w:rFonts w:hint="eastAsia"/>
        </w:rPr>
        <w:t>。</w:t>
      </w:r>
    </w:p>
    <w:p>
      <w:r>
        <w:rPr>
          <w:b/>
        </w:rPr>
        <w:t>新药临床部</w:t>
      </w:r>
      <w:r>
        <w:t>：</w:t>
      </w:r>
      <w:r>
        <w:rPr>
          <w:highlight w:val="none"/>
        </w:rPr>
        <w:t> 负责临床试验的全流程管理，涵盖方案设计（</w:t>
      </w:r>
      <w:r>
        <w:rPr>
          <w:rFonts w:hint="eastAsia"/>
          <w:highlight w:val="none"/>
        </w:rPr>
        <w:t>包括临床试验方案、研究者手册、ICF、</w:t>
      </w:r>
      <w:r>
        <w:rPr>
          <w:highlight w:val="none"/>
        </w:rPr>
        <w:t>CDP</w:t>
      </w:r>
      <w:r>
        <w:rPr>
          <w:rFonts w:hint="eastAsia"/>
          <w:highlight w:val="none"/>
        </w:rPr>
        <w:t>等全套临床文件</w:t>
      </w:r>
      <w:r>
        <w:rPr>
          <w:highlight w:val="none"/>
        </w:rPr>
        <w:t>）、</w:t>
      </w:r>
      <w:r>
        <w:rPr>
          <w:rFonts w:hint="eastAsia"/>
          <w:highlight w:val="none"/>
        </w:rPr>
        <w:t>临床</w:t>
      </w:r>
      <w:r>
        <w:rPr>
          <w:highlight w:val="none"/>
        </w:rPr>
        <w:t>运营、</w:t>
      </w:r>
      <w:r>
        <w:rPr>
          <w:rFonts w:hint="eastAsia"/>
          <w:highlight w:val="none"/>
        </w:rPr>
        <w:t>医学科学、</w:t>
      </w:r>
      <w:r>
        <w:rPr>
          <w:highlight w:val="none"/>
        </w:rPr>
        <w:t>医学监查</w:t>
      </w:r>
      <w:r>
        <w:rPr>
          <w:rFonts w:hint="eastAsia"/>
          <w:highlight w:val="none"/>
        </w:rPr>
        <w:t>、</w:t>
      </w:r>
      <w:r>
        <w:rPr>
          <w:highlight w:val="none"/>
        </w:rPr>
        <w:t>数据</w:t>
      </w:r>
      <w:r>
        <w:rPr>
          <w:rFonts w:hint="eastAsia"/>
          <w:highlight w:val="none"/>
        </w:rPr>
        <w:t>管理、</w:t>
      </w:r>
      <w:r>
        <w:rPr>
          <w:highlight w:val="none"/>
        </w:rPr>
        <w:t>统计</w:t>
      </w:r>
      <w:r>
        <w:rPr>
          <w:rFonts w:hint="eastAsia"/>
          <w:highlight w:val="none"/>
        </w:rPr>
        <w:t>分析、临床药理和药物警戒等</w:t>
      </w:r>
      <w:r>
        <w:rPr>
          <w:highlight w:val="none"/>
        </w:rPr>
        <w:t>。通过筛选优质CRO</w:t>
      </w:r>
      <w:r>
        <w:rPr>
          <w:rFonts w:hint="eastAsia"/>
          <w:highlight w:val="none"/>
        </w:rPr>
        <w:t>、检测实验室、</w:t>
      </w:r>
      <w:r>
        <w:rPr>
          <w:highlight w:val="none"/>
        </w:rPr>
        <w:t>临床</w:t>
      </w:r>
      <w:r>
        <w:rPr>
          <w:rFonts w:hint="eastAsia"/>
          <w:highlight w:val="none"/>
        </w:rPr>
        <w:t>研究</w:t>
      </w:r>
      <w:r>
        <w:rPr>
          <w:highlight w:val="none"/>
        </w:rPr>
        <w:t>中心</w:t>
      </w:r>
      <w:r>
        <w:rPr>
          <w:rFonts w:hint="eastAsia"/>
          <w:highlight w:val="none"/>
        </w:rPr>
        <w:t>等</w:t>
      </w:r>
      <w:r>
        <w:rPr>
          <w:highlight w:val="none"/>
        </w:rPr>
        <w:t>，确保试验严格遵循GCP规范，高效、高质量地完成。</w:t>
      </w:r>
    </w:p>
    <w:p/>
    <w:p>
      <w:pPr>
        <w:rPr>
          <w:b/>
        </w:rPr>
      </w:pPr>
      <w:r>
        <w:rPr>
          <w:rFonts w:hint="eastAsia"/>
          <w:b/>
        </w:rPr>
        <w:t>研发运营与战略支撑组（ROSS）职能：</w:t>
      </w:r>
    </w:p>
    <w:p>
      <w:pPr>
        <w:rPr>
          <w:rFonts w:hint="eastAsia"/>
        </w:rPr>
      </w:pPr>
      <w:r>
        <w:rPr>
          <w:b/>
        </w:rPr>
        <w:t>新药资讯部</w:t>
      </w:r>
      <w:r>
        <w:t>： 负责负责</w:t>
      </w:r>
      <w:r>
        <w:rPr>
          <w:rFonts w:hint="eastAsia"/>
          <w:lang w:val="en-US" w:eastAsia="zh-CN"/>
        </w:rPr>
        <w:t>靶点初筛、</w:t>
      </w:r>
      <w:r>
        <w:rPr>
          <w:rFonts w:hint="eastAsia"/>
        </w:rPr>
        <w:t>项目</w:t>
      </w:r>
      <w:r>
        <w:rPr>
          <w:rFonts w:hint="eastAsia"/>
          <w:lang w:val="en-US" w:eastAsia="zh-CN"/>
        </w:rPr>
        <w:t>初步</w:t>
      </w:r>
      <w:r>
        <w:rPr>
          <w:rFonts w:hint="eastAsia"/>
        </w:rPr>
        <w:t>评估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立项报告撰写、立项项目的</w:t>
      </w:r>
      <w:r>
        <w:rPr>
          <w:rFonts w:hint="eastAsia"/>
        </w:rPr>
        <w:t>全球</w:t>
      </w:r>
      <w:r>
        <w:rPr>
          <w:rFonts w:hint="eastAsia"/>
          <w:lang w:val="en-US" w:eastAsia="zh-CN"/>
        </w:rPr>
        <w:t>竞品</w:t>
      </w:r>
      <w:r>
        <w:rPr>
          <w:rFonts w:hint="eastAsia"/>
        </w:rPr>
        <w:t>动态监控</w:t>
      </w:r>
      <w:r>
        <w:rPr>
          <w:rFonts w:hint="eastAsia"/>
          <w:lang w:eastAsia="zh-CN"/>
        </w:rPr>
        <w:t>、</w:t>
      </w:r>
      <w:r>
        <w:rPr>
          <w:rFonts w:hint="eastAsia"/>
        </w:rPr>
        <w:t>研发动态更新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包括重要</w:t>
      </w:r>
      <w:r>
        <w:rPr>
          <w:rFonts w:hint="eastAsia"/>
        </w:rPr>
        <w:t>学术前沿文献追踪</w:t>
      </w:r>
      <w:r>
        <w:rPr>
          <w:rFonts w:hint="eastAsia"/>
          <w:lang w:eastAsia="zh-CN"/>
        </w:rPr>
        <w:t>、</w:t>
      </w:r>
      <w:r>
        <w:rPr>
          <w:rFonts w:hint="eastAsia"/>
        </w:rPr>
        <w:t>重要会议成果跟踪</w:t>
      </w:r>
      <w:r>
        <w:rPr>
          <w:rFonts w:hint="eastAsia"/>
          <w:lang w:eastAsia="zh-CN"/>
        </w:rPr>
        <w:t>、</w:t>
      </w:r>
      <w:r>
        <w:rPr>
          <w:rFonts w:hint="eastAsia"/>
        </w:rPr>
        <w:t>行业新闻</w:t>
      </w:r>
      <w:r>
        <w:rPr>
          <w:rFonts w:hint="eastAsia"/>
          <w:lang w:val="en-US" w:eastAsia="zh-CN"/>
        </w:rPr>
        <w:t>跟踪、专利监控</w:t>
      </w:r>
      <w:r>
        <w:rPr>
          <w:rFonts w:hint="eastAsia"/>
          <w:lang w:eastAsia="zh-CN"/>
        </w:rPr>
        <w:t>）、</w:t>
      </w:r>
      <w:r>
        <w:rPr>
          <w:rFonts w:hint="eastAsia"/>
          <w:lang w:val="en-US" w:eastAsia="zh-CN"/>
        </w:rPr>
        <w:t>项目</w:t>
      </w:r>
      <w:r>
        <w:rPr>
          <w:rFonts w:hint="eastAsia"/>
        </w:rPr>
        <w:t>开发过程中的信息调研支持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尽调支持、</w:t>
      </w:r>
      <w:r>
        <w:t>竞争情报分析、市场准入策略</w:t>
      </w:r>
      <w:r>
        <w:rPr>
          <w:rFonts w:hint="eastAsia"/>
          <w:lang w:val="en-US" w:eastAsia="zh-CN"/>
        </w:rPr>
        <w:t>分析</w:t>
      </w:r>
      <w:r>
        <w:rPr>
          <w:rFonts w:hint="eastAsia"/>
          <w:lang w:eastAsia="zh-CN"/>
        </w:rPr>
        <w:t>；</w:t>
      </w:r>
      <w:r>
        <w:rPr>
          <w:rFonts w:hint="eastAsia"/>
        </w:rPr>
        <w:t>知识产权体系建立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专利预警、FTO分析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专利管理（包括</w:t>
      </w:r>
      <w:r>
        <w:rPr>
          <w:rFonts w:hint="eastAsia"/>
        </w:rPr>
        <w:t>撰写、申请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布局、</w:t>
      </w:r>
      <w:r>
        <w:rPr>
          <w:rFonts w:hint="eastAsia"/>
        </w:rPr>
        <w:t>答复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维护、专利挑战</w:t>
      </w:r>
      <w:r>
        <w:rPr>
          <w:rFonts w:hint="eastAsia"/>
        </w:rPr>
        <w:t>应对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专利诉讼）</w:t>
      </w:r>
      <w:r>
        <w:rPr>
          <w:rFonts w:hint="eastAsia"/>
        </w:rPr>
        <w:t>。</w:t>
      </w:r>
    </w:p>
    <w:p>
      <w:r>
        <w:rPr>
          <w:b/>
        </w:rPr>
        <w:t>商务拓展部</w:t>
      </w:r>
      <w:r>
        <w:t>： 负责项目对外合作、许可交易、合作方管理。</w:t>
      </w:r>
      <w:r>
        <w:rPr>
          <w:rFonts w:hint="eastAsia"/>
        </w:rPr>
        <w:t>进行项目价值评估，寻找国内外权益转让机会及联盟管理。</w:t>
      </w:r>
    </w:p>
    <w:p>
      <w:r>
        <w:rPr>
          <w:b/>
        </w:rPr>
        <w:t>效率管理部</w:t>
      </w:r>
      <w:r>
        <w:t>： 负责项目管理制度</w:t>
      </w:r>
      <w:r>
        <w:rPr>
          <w:rFonts w:hint="eastAsia"/>
        </w:rPr>
        <w:t>制定</w:t>
      </w:r>
      <w:r>
        <w:t>、项目</w:t>
      </w:r>
      <w:r>
        <w:rPr>
          <w:rFonts w:hint="eastAsia"/>
        </w:rPr>
        <w:t>组</w:t>
      </w:r>
      <w:r>
        <w:t>考核、项目流程优化、人力资源管理、</w:t>
      </w:r>
      <w:r>
        <w:rPr>
          <w:rFonts w:hint="eastAsia"/>
        </w:rPr>
        <w:t>运营预算管理、实验室运作及资产管理、项目管理系统（PMS）维护。</w:t>
      </w:r>
    </w:p>
    <w:p>
      <w:r>
        <w:rPr>
          <w:b/>
        </w:rPr>
        <w:t>药政合规部</w:t>
      </w:r>
      <w:r>
        <w:t>： 负责</w:t>
      </w:r>
      <w:r>
        <w:rPr>
          <w:rFonts w:hint="eastAsia"/>
        </w:rPr>
        <w:t>创新药</w:t>
      </w:r>
      <w:r>
        <w:t>申报资料（IND/NDA）撰写与递交、与监管机构沟通、G</w:t>
      </w:r>
      <w:r>
        <w:rPr>
          <w:rFonts w:hint="eastAsia"/>
        </w:rPr>
        <w:t>x</w:t>
      </w:r>
      <w:r>
        <w:t>P合规性监管。</w:t>
      </w:r>
      <w:r>
        <w:rPr>
          <w:rFonts w:hint="eastAsia"/>
        </w:rPr>
        <w:t>制定差异化注册路径，管理申报资料原始记录，组织模拟现场核查。</w:t>
      </w:r>
    </w:p>
    <w:p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jc w:val="center"/>
        <w:rPr>
          <w:b/>
          <w:sz w:val="28"/>
        </w:rPr>
      </w:pPr>
      <w:r>
        <w:rPr>
          <w:b/>
          <w:sz w:val="28"/>
        </w:rPr>
        <w:t>第三章 项目分级管理</w:t>
      </w:r>
    </w:p>
    <w:p>
      <w:pPr>
        <w:rPr>
          <w:b/>
        </w:rPr>
      </w:pPr>
      <w:r>
        <w:rPr>
          <w:b/>
        </w:rPr>
        <w:t>第六条 项目分级标准</w:t>
      </w:r>
    </w:p>
    <w:p>
      <w:r>
        <w:rPr>
          <w:rFonts w:hint="eastAsia"/>
        </w:rPr>
        <w:t>通过</w:t>
      </w:r>
      <w:r>
        <w:t>项目</w:t>
      </w:r>
      <w:r>
        <w:rPr>
          <w:rFonts w:hint="eastAsia"/>
        </w:rPr>
        <w:t>“</w:t>
      </w:r>
      <w:r>
        <w:t>战略</w:t>
      </w:r>
      <w:r>
        <w:rPr>
          <w:rFonts w:hint="eastAsia"/>
        </w:rPr>
        <w:t>贡献度</w:t>
      </w:r>
      <w:r>
        <w:t>、</w:t>
      </w:r>
      <w:r>
        <w:rPr>
          <w:rFonts w:hint="eastAsia"/>
        </w:rPr>
        <w:t>技术</w:t>
      </w:r>
      <w:r>
        <w:t>创新性、市场</w:t>
      </w:r>
      <w:r>
        <w:rPr>
          <w:rFonts w:hint="eastAsia"/>
        </w:rPr>
        <w:t>竞争度、</w:t>
      </w:r>
      <w:r>
        <w:t>风险</w:t>
      </w:r>
      <w:r>
        <w:rPr>
          <w:rFonts w:hint="eastAsia"/>
        </w:rPr>
        <w:t>可控性”</w:t>
      </w:r>
      <w:r>
        <w:t>，将项目分为以下</w:t>
      </w:r>
      <w:r>
        <w:rPr>
          <w:rFonts w:hint="eastAsia"/>
        </w:rPr>
        <w:t>六</w:t>
      </w:r>
      <w:r>
        <w:t>级：</w:t>
      </w:r>
    </w:p>
    <w:tbl>
      <w:tblPr>
        <w:tblStyle w:val="11"/>
        <w:tblW w:w="1365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7"/>
        <w:gridCol w:w="2648"/>
        <w:gridCol w:w="4488"/>
        <w:gridCol w:w="4314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4" w:hRule="atLeast"/>
        </w:trPr>
        <w:tc>
          <w:tcPr>
            <w:tcW w:w="2207" w:type="dxa"/>
            <w:tcBorders>
              <w:top w:val="nil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项目</w:t>
            </w:r>
            <w:r>
              <w:rPr>
                <w:rFonts w:hint="eastAsia"/>
              </w:rPr>
              <w:t>分</w:t>
            </w:r>
            <w:r>
              <w:t>级</w:t>
            </w:r>
          </w:p>
        </w:tc>
        <w:tc>
          <w:tcPr>
            <w:tcW w:w="2648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代号</w:t>
            </w:r>
          </w:p>
        </w:tc>
        <w:tc>
          <w:tcPr>
            <w:tcW w:w="4488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定义与标准</w:t>
            </w:r>
          </w:p>
        </w:tc>
        <w:tc>
          <w:tcPr>
            <w:tcW w:w="4314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管理特点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72" w:hRule="atLeast"/>
        </w:trPr>
        <w:tc>
          <w:tcPr>
            <w:tcW w:w="2207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火力全开</w:t>
            </w:r>
          </w:p>
          <w:p>
            <w:pPr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临床重大</w:t>
            </w:r>
          </w:p>
        </w:tc>
        <w:tc>
          <w:tcPr>
            <w:tcW w:w="264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  <w:rPr>
                <w:sz w:val="15"/>
                <w:szCs w:val="21"/>
              </w:rPr>
            </w:pPr>
            <w:r>
              <w:rPr>
                <w:rFonts w:hint="eastAsia"/>
                <w:sz w:val="15"/>
              </w:rPr>
              <w:t>H-L</w:t>
            </w:r>
            <w:r>
              <w:rPr>
                <w:sz w:val="15"/>
              </w:rPr>
              <w:t>-</w:t>
            </w:r>
            <w:r>
              <w:rPr>
                <w:rFonts w:hint="eastAsia"/>
                <w:sz w:val="15"/>
                <w:szCs w:val="21"/>
              </w:rPr>
              <w:t>KBDXXXX</w:t>
            </w:r>
          </w:p>
        </w:tc>
        <w:tc>
          <w:tcPr>
            <w:tcW w:w="448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1</w:t>
            </w:r>
            <w:r>
              <w:rPr>
                <w:sz w:val="15"/>
              </w:rPr>
              <w:t>.公司战略核心</w:t>
            </w:r>
            <w:r>
              <w:rPr>
                <w:rFonts w:hint="eastAsia"/>
                <w:sz w:val="15"/>
              </w:rPr>
              <w:t>。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2.</w:t>
            </w:r>
            <w:r>
              <w:rPr>
                <w:sz w:val="15"/>
              </w:rPr>
              <w:t>全球首创（FIC）或同类最佳（BIC）潜力</w:t>
            </w:r>
            <w:r>
              <w:rPr>
                <w:rFonts w:hint="eastAsia"/>
                <w:sz w:val="15"/>
              </w:rPr>
              <w:t>。</w:t>
            </w:r>
          </w:p>
          <w:p>
            <w:pPr>
              <w:rPr>
                <w:sz w:val="15"/>
              </w:rPr>
            </w:pPr>
            <w:r>
              <w:rPr>
                <w:sz w:val="15"/>
              </w:rPr>
              <w:t>3.针对重大未满足临床需求。</w:t>
            </w:r>
          </w:p>
          <w:p>
            <w:pPr>
              <w:rPr>
                <w:sz w:val="15"/>
              </w:rPr>
            </w:pPr>
            <w:r>
              <w:rPr>
                <w:sz w:val="15"/>
              </w:rPr>
              <w:t>4.</w:t>
            </w:r>
            <w:r>
              <w:rPr>
                <w:rFonts w:hint="eastAsia"/>
                <w:sz w:val="15"/>
              </w:rPr>
              <w:t>具备成长为重磅药物的潜质。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5</w:t>
            </w:r>
            <w:r>
              <w:rPr>
                <w:sz w:val="15"/>
              </w:rPr>
              <w:t>.</w:t>
            </w:r>
            <w:r>
              <w:rPr>
                <w:rFonts w:hint="eastAsia"/>
                <w:sz w:val="15"/>
              </w:rPr>
              <w:t>国际化潜力与对外授权价值。</w:t>
            </w:r>
          </w:p>
        </w:tc>
        <w:tc>
          <w:tcPr>
            <w:tcW w:w="4314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资源保障力：★★★★★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洞察决策力：★★★★★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人才驱动力：★★★★★</w:t>
            </w:r>
          </w:p>
          <w:p>
            <w:pPr>
              <w:rPr>
                <w:sz w:val="15"/>
                <w:highlight w:val="yellow"/>
              </w:rPr>
            </w:pPr>
            <w:r>
              <w:rPr>
                <w:rFonts w:hint="eastAsia"/>
                <w:sz w:val="15"/>
              </w:rPr>
              <w:t>体系管控力：★★★★★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95" w:hRule="atLeast"/>
        </w:trPr>
        <w:tc>
          <w:tcPr>
            <w:tcW w:w="2207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临床重大</w:t>
            </w:r>
          </w:p>
        </w:tc>
        <w:tc>
          <w:tcPr>
            <w:tcW w:w="264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  <w:rPr>
                <w:sz w:val="15"/>
                <w:szCs w:val="21"/>
              </w:rPr>
            </w:pPr>
            <w:r>
              <w:rPr>
                <w:rFonts w:hint="eastAsia"/>
                <w:sz w:val="15"/>
                <w:szCs w:val="21"/>
              </w:rPr>
              <w:t>G-L</w:t>
            </w:r>
            <w:r>
              <w:rPr>
                <w:sz w:val="15"/>
                <w:szCs w:val="21"/>
              </w:rPr>
              <w:t>-</w:t>
            </w:r>
            <w:r>
              <w:rPr>
                <w:rFonts w:hint="eastAsia"/>
                <w:sz w:val="15"/>
                <w:szCs w:val="21"/>
              </w:rPr>
              <w:t>KBDXXXX</w:t>
            </w:r>
          </w:p>
        </w:tc>
        <w:tc>
          <w:tcPr>
            <w:tcW w:w="448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1</w:t>
            </w:r>
            <w:r>
              <w:rPr>
                <w:sz w:val="15"/>
              </w:rPr>
              <w:t>.公司战略核心</w:t>
            </w:r>
            <w:r>
              <w:rPr>
                <w:rFonts w:hint="eastAsia"/>
                <w:sz w:val="15"/>
              </w:rPr>
              <w:t>。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2.</w:t>
            </w:r>
            <w:r>
              <w:rPr>
                <w:sz w:val="15"/>
              </w:rPr>
              <w:t>全球首创（FIC）或同类最佳（BIC）潜力</w:t>
            </w:r>
            <w:r>
              <w:rPr>
                <w:rFonts w:hint="eastAsia"/>
                <w:sz w:val="15"/>
              </w:rPr>
              <w:t>。</w:t>
            </w:r>
          </w:p>
          <w:p>
            <w:pPr>
              <w:rPr>
                <w:sz w:val="15"/>
              </w:rPr>
            </w:pPr>
            <w:r>
              <w:rPr>
                <w:sz w:val="15"/>
              </w:rPr>
              <w:t>3.针对重大未满足临床需求。</w:t>
            </w:r>
          </w:p>
          <w:p>
            <w:pPr>
              <w:rPr>
                <w:sz w:val="15"/>
              </w:rPr>
            </w:pPr>
            <w:r>
              <w:rPr>
                <w:sz w:val="15"/>
              </w:rPr>
              <w:t>4.</w:t>
            </w:r>
            <w:r>
              <w:rPr>
                <w:rFonts w:hint="eastAsia"/>
                <w:sz w:val="15"/>
              </w:rPr>
              <w:t>具备成长为重磅药物的潜质。</w:t>
            </w:r>
          </w:p>
        </w:tc>
        <w:tc>
          <w:tcPr>
            <w:tcW w:w="4314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资源保障力：★★★★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洞察决策力：★★★★★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人才驱动力：★★★★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体系管控力：★★★★★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58" w:hRule="atLeast"/>
        </w:trPr>
        <w:tc>
          <w:tcPr>
            <w:tcW w:w="2207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火力全开</w:t>
            </w:r>
          </w:p>
          <w:p>
            <w:pPr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重大临床前</w:t>
            </w:r>
          </w:p>
        </w:tc>
        <w:tc>
          <w:tcPr>
            <w:tcW w:w="264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  <w:rPr>
                <w:sz w:val="15"/>
              </w:rPr>
            </w:pPr>
            <w:r>
              <w:rPr>
                <w:sz w:val="15"/>
              </w:rPr>
              <w:t>H-Q-</w:t>
            </w:r>
            <w:r>
              <w:rPr>
                <w:rFonts w:hint="eastAsia"/>
                <w:sz w:val="15"/>
                <w:szCs w:val="21"/>
              </w:rPr>
              <w:t>KBDXXXX</w:t>
            </w:r>
          </w:p>
        </w:tc>
        <w:tc>
          <w:tcPr>
            <w:tcW w:w="448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1</w:t>
            </w:r>
            <w:r>
              <w:rPr>
                <w:sz w:val="15"/>
              </w:rPr>
              <w:t>.公司</w:t>
            </w:r>
            <w:r>
              <w:rPr>
                <w:rFonts w:hint="eastAsia"/>
                <w:sz w:val="15"/>
              </w:rPr>
              <w:t>研发管线</w:t>
            </w:r>
            <w:r>
              <w:rPr>
                <w:sz w:val="15"/>
              </w:rPr>
              <w:t>核心</w:t>
            </w:r>
            <w:r>
              <w:rPr>
                <w:rFonts w:hint="eastAsia"/>
                <w:sz w:val="15"/>
              </w:rPr>
              <w:t>。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2.</w:t>
            </w:r>
            <w:r>
              <w:rPr>
                <w:sz w:val="15"/>
              </w:rPr>
              <w:t>全球首创（FIC）或同类最佳（BIC）潜力</w:t>
            </w:r>
            <w:r>
              <w:rPr>
                <w:rFonts w:hint="eastAsia"/>
                <w:sz w:val="15"/>
              </w:rPr>
              <w:t>。</w:t>
            </w:r>
          </w:p>
          <w:p>
            <w:pPr>
              <w:rPr>
                <w:sz w:val="15"/>
              </w:rPr>
            </w:pPr>
            <w:r>
              <w:rPr>
                <w:sz w:val="15"/>
              </w:rPr>
              <w:t>3.针对重大未满足临床需求。</w:t>
            </w:r>
          </w:p>
          <w:p>
            <w:pPr>
              <w:rPr>
                <w:sz w:val="15"/>
              </w:rPr>
            </w:pPr>
            <w:r>
              <w:rPr>
                <w:sz w:val="15"/>
              </w:rPr>
              <w:t>4.</w:t>
            </w:r>
            <w:r>
              <w:rPr>
                <w:rFonts w:hint="eastAsia"/>
                <w:sz w:val="15"/>
              </w:rPr>
              <w:t>具备成长为重磅药物的潜质。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5</w:t>
            </w:r>
            <w:r>
              <w:rPr>
                <w:sz w:val="15"/>
              </w:rPr>
              <w:t>.</w:t>
            </w:r>
            <w:r>
              <w:rPr>
                <w:rFonts w:hint="eastAsia"/>
                <w:sz w:val="15"/>
              </w:rPr>
              <w:t>国际化潜力与对外授权价值。</w:t>
            </w:r>
          </w:p>
        </w:tc>
        <w:tc>
          <w:tcPr>
            <w:tcW w:w="4314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资源保障力：★★★★★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洞察决策力：★★★★★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人才驱动力：★★★★★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体系管控力：★★★★</w:t>
            </w:r>
          </w:p>
        </w:tc>
      </w:tr>
      <w:tr>
        <w:trPr>
          <w:trHeight w:val="1658" w:hRule="atLeast"/>
        </w:trPr>
        <w:tc>
          <w:tcPr>
            <w:tcW w:w="2207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重大临床前</w:t>
            </w:r>
          </w:p>
        </w:tc>
        <w:tc>
          <w:tcPr>
            <w:tcW w:w="264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G-Q-</w:t>
            </w:r>
            <w:r>
              <w:rPr>
                <w:rFonts w:hint="eastAsia"/>
                <w:sz w:val="15"/>
                <w:szCs w:val="21"/>
              </w:rPr>
              <w:t>KBDXXXX</w:t>
            </w:r>
          </w:p>
        </w:tc>
        <w:tc>
          <w:tcPr>
            <w:tcW w:w="448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1</w:t>
            </w:r>
            <w:r>
              <w:rPr>
                <w:sz w:val="15"/>
              </w:rPr>
              <w:t>.公司</w:t>
            </w:r>
            <w:r>
              <w:rPr>
                <w:rFonts w:hint="eastAsia"/>
                <w:sz w:val="15"/>
              </w:rPr>
              <w:t>研发管线</w:t>
            </w:r>
            <w:r>
              <w:rPr>
                <w:sz w:val="15"/>
              </w:rPr>
              <w:t>核心</w:t>
            </w:r>
            <w:r>
              <w:rPr>
                <w:rFonts w:hint="eastAsia"/>
                <w:sz w:val="15"/>
              </w:rPr>
              <w:t>。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2.</w:t>
            </w:r>
            <w:r>
              <w:rPr>
                <w:sz w:val="15"/>
              </w:rPr>
              <w:t>全球首创（FIC）或同类最佳（BIC）潜力</w:t>
            </w:r>
            <w:r>
              <w:rPr>
                <w:rFonts w:hint="eastAsia"/>
                <w:sz w:val="15"/>
              </w:rPr>
              <w:t>。</w:t>
            </w:r>
          </w:p>
          <w:p>
            <w:pPr>
              <w:rPr>
                <w:sz w:val="15"/>
              </w:rPr>
            </w:pPr>
            <w:r>
              <w:rPr>
                <w:sz w:val="15"/>
              </w:rPr>
              <w:t>3.针对重大未满足临床需求。</w:t>
            </w:r>
          </w:p>
          <w:p>
            <w:pPr>
              <w:rPr>
                <w:sz w:val="15"/>
              </w:rPr>
            </w:pPr>
            <w:r>
              <w:rPr>
                <w:sz w:val="15"/>
              </w:rPr>
              <w:t>4.</w:t>
            </w:r>
            <w:r>
              <w:rPr>
                <w:rFonts w:hint="eastAsia"/>
                <w:sz w:val="15"/>
              </w:rPr>
              <w:t>具备成长为重磅药物的潜质。</w:t>
            </w:r>
          </w:p>
        </w:tc>
        <w:tc>
          <w:tcPr>
            <w:tcW w:w="4314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资源保障力：★★★★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洞察决策力：★★★★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人才驱动力：★★★★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体系管控力：★★★★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58" w:hRule="atLeast"/>
        </w:trPr>
        <w:tc>
          <w:tcPr>
            <w:tcW w:w="2207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重大探索</w:t>
            </w:r>
          </w:p>
        </w:tc>
        <w:tc>
          <w:tcPr>
            <w:tcW w:w="264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G-T</w:t>
            </w:r>
          </w:p>
        </w:tc>
        <w:tc>
          <w:tcPr>
            <w:tcW w:w="448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rPr>
                <w:sz w:val="15"/>
              </w:rPr>
            </w:pPr>
            <w:r>
              <w:rPr>
                <w:sz w:val="15"/>
              </w:rPr>
              <w:t>1.探索性新靶点、新机制或技术风险较高</w:t>
            </w:r>
            <w:r>
              <w:rPr>
                <w:rFonts w:hint="eastAsia"/>
                <w:sz w:val="15"/>
              </w:rPr>
              <w:t>。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2</w:t>
            </w:r>
            <w:r>
              <w:rPr>
                <w:sz w:val="15"/>
              </w:rPr>
              <w:t>.作为</w:t>
            </w:r>
            <w:r>
              <w:rPr>
                <w:rFonts w:hint="eastAsia"/>
                <w:sz w:val="15"/>
              </w:rPr>
              <w:t>研发管</w:t>
            </w:r>
            <w:r>
              <w:rPr>
                <w:sz w:val="15"/>
              </w:rPr>
              <w:t>线补充</w:t>
            </w:r>
            <w:r>
              <w:rPr>
                <w:rFonts w:hint="eastAsia"/>
                <w:sz w:val="15"/>
              </w:rPr>
              <w:t>。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3</w:t>
            </w:r>
            <w:r>
              <w:rPr>
                <w:sz w:val="15"/>
              </w:rPr>
              <w:t>.</w:t>
            </w:r>
            <w:r>
              <w:rPr>
                <w:rFonts w:hint="eastAsia"/>
                <w:sz w:val="15"/>
              </w:rPr>
              <w:t>具有重大市场价值。</w:t>
            </w:r>
          </w:p>
        </w:tc>
        <w:tc>
          <w:tcPr>
            <w:tcW w:w="4314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资源保障力：★★★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洞察决策力：★★★★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人才驱动力：★★★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体系管控力：★★★★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58" w:hRule="atLeast"/>
        </w:trPr>
        <w:tc>
          <w:tcPr>
            <w:tcW w:w="2207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产能项目</w:t>
            </w:r>
          </w:p>
        </w:tc>
        <w:tc>
          <w:tcPr>
            <w:tcW w:w="264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  <w:rPr>
                <w:sz w:val="15"/>
              </w:rPr>
            </w:pPr>
            <w:r>
              <w:rPr>
                <w:rFonts w:hint="eastAsia"/>
                <w:sz w:val="15"/>
              </w:rPr>
              <w:t>C-L/</w:t>
            </w:r>
            <w:r>
              <w:rPr>
                <w:sz w:val="15"/>
              </w:rPr>
              <w:t>C-Q</w:t>
            </w:r>
          </w:p>
        </w:tc>
        <w:tc>
          <w:tcPr>
            <w:tcW w:w="448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1</w:t>
            </w:r>
            <w:r>
              <w:rPr>
                <w:sz w:val="15"/>
              </w:rPr>
              <w:t>.</w:t>
            </w:r>
            <w:r>
              <w:rPr>
                <w:rFonts w:hint="eastAsia"/>
                <w:sz w:val="15"/>
              </w:rPr>
              <w:t>具有巨大市场潜能。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2</w:t>
            </w:r>
            <w:r>
              <w:rPr>
                <w:sz w:val="15"/>
              </w:rPr>
              <w:t>.</w:t>
            </w:r>
            <w:r>
              <w:rPr>
                <w:rFonts w:hint="eastAsia"/>
                <w:sz w:val="15"/>
              </w:rPr>
              <w:t>快速布局创新开发。</w:t>
            </w:r>
          </w:p>
          <w:p>
            <w:pPr>
              <w:rPr>
                <w:sz w:val="15"/>
              </w:rPr>
            </w:pPr>
            <w:r>
              <w:rPr>
                <w:sz w:val="15"/>
              </w:rPr>
              <w:t>3.</w:t>
            </w:r>
            <w:r>
              <w:rPr>
                <w:rFonts w:hint="eastAsia"/>
                <w:sz w:val="15"/>
              </w:rPr>
              <w:t>锚定行业管线缺口。</w:t>
            </w:r>
          </w:p>
        </w:tc>
        <w:tc>
          <w:tcPr>
            <w:tcW w:w="4314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资源保障力：★★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洞察决策力：★★★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人才驱动力：★★</w:t>
            </w:r>
          </w:p>
          <w:p>
            <w:pPr>
              <w:rPr>
                <w:sz w:val="15"/>
              </w:rPr>
            </w:pPr>
            <w:r>
              <w:rPr>
                <w:rFonts w:hint="eastAsia"/>
                <w:sz w:val="15"/>
              </w:rPr>
              <w:t>体系管控力：★★★</w:t>
            </w:r>
          </w:p>
        </w:tc>
      </w:tr>
    </w:tbl>
    <w:p>
      <w:pPr>
        <w:rPr>
          <w:b/>
        </w:rPr>
      </w:pPr>
      <w:r>
        <w:rPr>
          <w:b/>
        </w:rPr>
        <w:t>第七条 分级动态调整</w:t>
      </w:r>
    </w:p>
    <w:p>
      <w:r>
        <w:t>效率管理部</w:t>
      </w:r>
      <w:r>
        <w:rPr>
          <w:rFonts w:hint="eastAsia"/>
        </w:rPr>
        <w:t>按半年度</w:t>
      </w:r>
      <w:r>
        <w:t>/</w:t>
      </w:r>
      <w:r>
        <w:rPr>
          <w:rFonts w:hint="eastAsia"/>
        </w:rPr>
        <w:t>年度</w:t>
      </w:r>
      <w:r>
        <w:t>组织项目分级评审，PMC可根据项目进展、</w:t>
      </w:r>
      <w:r>
        <w:rPr>
          <w:rFonts w:hint="eastAsia"/>
        </w:rPr>
        <w:t>竞争格局</w:t>
      </w:r>
      <w:r>
        <w:t>及公司战略调整，对项目等级进行动态调整。</w:t>
      </w:r>
      <w:r>
        <w:rPr>
          <w:rFonts w:hint="eastAsia"/>
        </w:rPr>
        <w:t>分级并非一成不变，若G-L项目在临床阶段表现出卓越的有效性或商业前景，可申请升级为H</w:t>
      </w:r>
      <w:r>
        <w:t>-L</w:t>
      </w:r>
      <w:r>
        <w:rPr>
          <w:rFonts w:hint="eastAsia"/>
        </w:rPr>
        <w:t>；若G</w:t>
      </w:r>
      <w:r>
        <w:t>-</w:t>
      </w:r>
      <w:r>
        <w:rPr>
          <w:rFonts w:hint="eastAsia"/>
        </w:rPr>
        <w:t>T项目出现关键专利失效或市场环境巨变，可降级或终止。</w:t>
      </w:r>
    </w:p>
    <w:p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jc w:val="center"/>
        <w:rPr>
          <w:b/>
          <w:sz w:val="28"/>
        </w:rPr>
      </w:pPr>
      <w:r>
        <w:rPr>
          <w:b/>
          <w:sz w:val="28"/>
        </w:rPr>
        <w:t>第四章 项目里程碑管理</w:t>
      </w:r>
    </w:p>
    <w:p>
      <w:pPr>
        <w:rPr>
          <w:b/>
        </w:rPr>
      </w:pPr>
      <w:r>
        <w:rPr>
          <w:b/>
        </w:rPr>
        <w:t>第八条 关键里程碑定义与交付物</w:t>
      </w:r>
    </w:p>
    <w:p>
      <w:r>
        <w:t>项目划分为以下关键里程碑阶段，每个里程碑均设有明确的进入标准、交付物及决策评审点。</w:t>
      </w:r>
    </w:p>
    <w:p>
      <w:r>
        <w:rPr>
          <w:rFonts w:hint="eastAsia"/>
          <w:b/>
        </w:rPr>
        <w:t>G0-G2（早期研究）</w:t>
      </w:r>
      <w:r>
        <w:rPr>
          <w:rFonts w:hint="eastAsia"/>
        </w:rPr>
        <w:t>：重点在于“选对药”。交付物需证明化合物的体外生物活性、选择性、初步药效及IP（知识产权）净空。</w:t>
      </w:r>
    </w:p>
    <w:p>
      <w:r>
        <w:rPr>
          <w:rFonts w:hint="eastAsia"/>
          <w:b/>
        </w:rPr>
        <w:t>G3-G</w:t>
      </w:r>
      <w:r>
        <w:rPr>
          <w:b/>
        </w:rPr>
        <w:t>5</w:t>
      </w:r>
      <w:r>
        <w:rPr>
          <w:rFonts w:hint="eastAsia"/>
          <w:b/>
        </w:rPr>
        <w:t>（申报准备）</w:t>
      </w:r>
      <w:r>
        <w:rPr>
          <w:rFonts w:hint="eastAsia"/>
        </w:rPr>
        <w:t>：重点在于“合规性”。交付物必须包含明确的体内药效验证，符合GLP要求的毒理报告和符合GMP要求的工艺包，临床方案设计。</w:t>
      </w:r>
    </w:p>
    <w:p>
      <w:r>
        <w:rPr>
          <w:rFonts w:hint="eastAsia"/>
          <w:b/>
        </w:rPr>
        <w:t>G</w:t>
      </w:r>
      <w:r>
        <w:rPr>
          <w:b/>
        </w:rPr>
        <w:t>6</w:t>
      </w:r>
      <w:r>
        <w:rPr>
          <w:rFonts w:hint="eastAsia"/>
          <w:b/>
        </w:rPr>
        <w:t>-G</w:t>
      </w:r>
      <w:r>
        <w:rPr>
          <w:b/>
        </w:rPr>
        <w:t>9</w:t>
      </w:r>
      <w:r>
        <w:rPr>
          <w:rFonts w:hint="eastAsia"/>
          <w:b/>
        </w:rPr>
        <w:t>（临床开发）</w:t>
      </w:r>
      <w:r>
        <w:rPr>
          <w:rFonts w:hint="eastAsia"/>
        </w:rPr>
        <w:t>：重点在于“证有效”。从Ⅰ期的安全性到Ⅱ期的POC（概念验证），再到Ⅲ期的确证性，每一步必须有完整的临床总结报告支持。</w:t>
      </w:r>
    </w:p>
    <w:tbl>
      <w:tblPr>
        <w:tblStyle w:val="11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9"/>
        <w:gridCol w:w="2170"/>
        <w:gridCol w:w="3000"/>
        <w:gridCol w:w="3360"/>
        <w:gridCol w:w="1800"/>
        <w:gridCol w:w="1788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6" w:hRule="atLeast"/>
        </w:trPr>
        <w:tc>
          <w:tcPr>
            <w:tcW w:w="1639" w:type="dxa"/>
            <w:tcBorders>
              <w:top w:val="nil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里程碑代码</w:t>
            </w:r>
          </w:p>
        </w:tc>
        <w:tc>
          <w:tcPr>
            <w:tcW w:w="2170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里程碑名称</w:t>
            </w:r>
          </w:p>
        </w:tc>
        <w:tc>
          <w:tcPr>
            <w:tcW w:w="3000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阶段定义</w:t>
            </w:r>
          </w:p>
        </w:tc>
        <w:tc>
          <w:tcPr>
            <w:tcW w:w="3360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核心交付物</w:t>
            </w:r>
          </w:p>
        </w:tc>
        <w:tc>
          <w:tcPr>
            <w:tcW w:w="1800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主导部门</w:t>
            </w:r>
          </w:p>
        </w:tc>
        <w:tc>
          <w:tcPr>
            <w:tcW w:w="1788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决策评审点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90" w:hRule="atLeast"/>
        </w:trPr>
        <w:tc>
          <w:tcPr>
            <w:tcW w:w="1639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G0</w:t>
            </w:r>
          </w:p>
        </w:tc>
        <w:tc>
          <w:tcPr>
            <w:tcW w:w="217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项目立项</w:t>
            </w:r>
            <w:r>
              <w:rPr>
                <w:rFonts w:hint="eastAsia"/>
              </w:rPr>
              <w:t>*</w:t>
            </w:r>
          </w:p>
        </w:tc>
        <w:tc>
          <w:tcPr>
            <w:tcW w:w="30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完成靶点评估、立项申请</w:t>
            </w:r>
          </w:p>
        </w:tc>
        <w:tc>
          <w:tcPr>
            <w:tcW w:w="336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立项</w:t>
            </w:r>
            <w:r>
              <w:rPr>
                <w:rFonts w:hint="eastAsia"/>
              </w:rPr>
              <w:t>报告</w:t>
            </w:r>
          </w:p>
        </w:tc>
        <w:tc>
          <w:tcPr>
            <w:tcW w:w="18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新药资讯部</w:t>
            </w:r>
          </w:p>
        </w:tc>
        <w:tc>
          <w:tcPr>
            <w:tcW w:w="178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PMC立项决策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95" w:hRule="atLeast"/>
        </w:trPr>
        <w:tc>
          <w:tcPr>
            <w:tcW w:w="1639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G1</w:t>
            </w:r>
          </w:p>
        </w:tc>
        <w:tc>
          <w:tcPr>
            <w:tcW w:w="217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先导化合物确认</w:t>
            </w:r>
          </w:p>
        </w:tc>
        <w:tc>
          <w:tcPr>
            <w:tcW w:w="30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获得具有明确活性的先导化合物系列</w:t>
            </w:r>
          </w:p>
        </w:tc>
        <w:tc>
          <w:tcPr>
            <w:tcW w:w="336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t>先导化合物</w:t>
            </w:r>
            <w:r>
              <w:rPr>
                <w:rFonts w:hint="eastAsia"/>
              </w:rPr>
              <w:t>、</w:t>
            </w:r>
            <w:r>
              <w:t>专利</w:t>
            </w:r>
            <w:r>
              <w:rPr>
                <w:rFonts w:hint="eastAsia"/>
                <w:lang w:val="en-US" w:eastAsia="zh-CN"/>
              </w:rPr>
              <w:t>申请号</w:t>
            </w:r>
          </w:p>
        </w:tc>
        <w:tc>
          <w:tcPr>
            <w:tcW w:w="18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新药化学部</w:t>
            </w:r>
          </w:p>
        </w:tc>
        <w:tc>
          <w:tcPr>
            <w:tcW w:w="178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项目组内部评审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75" w:hRule="atLeast"/>
        </w:trPr>
        <w:tc>
          <w:tcPr>
            <w:tcW w:w="1639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G2</w:t>
            </w:r>
          </w:p>
        </w:tc>
        <w:tc>
          <w:tcPr>
            <w:tcW w:w="217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优选化合物</w:t>
            </w:r>
          </w:p>
        </w:tc>
        <w:tc>
          <w:tcPr>
            <w:tcW w:w="30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获得具有明确</w:t>
            </w:r>
            <w:r>
              <w:rPr>
                <w:rFonts w:hint="eastAsia"/>
              </w:rPr>
              <w:t>体内药效的优选</w:t>
            </w:r>
            <w:r>
              <w:t>化合物</w:t>
            </w:r>
          </w:p>
        </w:tc>
        <w:tc>
          <w:tcPr>
            <w:tcW w:w="336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优选</w:t>
            </w:r>
            <w:r>
              <w:t>化合物</w:t>
            </w:r>
            <w:r>
              <w:rPr>
                <w:rFonts w:hint="eastAsia"/>
              </w:rPr>
              <w:t>、</w:t>
            </w:r>
            <w:r>
              <w:t>专利</w:t>
            </w:r>
            <w:r>
              <w:rPr>
                <w:rFonts w:hint="eastAsia"/>
                <w:lang w:val="en-US" w:eastAsia="zh-CN"/>
              </w:rPr>
              <w:t>申请号</w:t>
            </w:r>
          </w:p>
        </w:tc>
        <w:tc>
          <w:tcPr>
            <w:tcW w:w="18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新药化学部</w:t>
            </w:r>
          </w:p>
        </w:tc>
        <w:tc>
          <w:tcPr>
            <w:tcW w:w="178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项目组内部评审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3" w:hRule="atLeast"/>
        </w:trPr>
        <w:tc>
          <w:tcPr>
            <w:tcW w:w="1639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G3</w:t>
            </w:r>
          </w:p>
        </w:tc>
        <w:tc>
          <w:tcPr>
            <w:tcW w:w="217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候选化合物提名 (PCC)</w:t>
            </w:r>
          </w:p>
        </w:tc>
        <w:tc>
          <w:tcPr>
            <w:tcW w:w="30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综合评估后，正式提名一个或多个化合物作为临床前开发候选物</w:t>
            </w:r>
          </w:p>
        </w:tc>
        <w:tc>
          <w:tcPr>
            <w:tcW w:w="336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PCC提名报告（含详细的体内外药效、初步ADME、初步安全性、专利策略）</w:t>
            </w:r>
          </w:p>
        </w:tc>
        <w:tc>
          <w:tcPr>
            <w:tcW w:w="18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 xml:space="preserve">新药化学部 </w:t>
            </w:r>
          </w:p>
        </w:tc>
        <w:tc>
          <w:tcPr>
            <w:tcW w:w="178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PMC评审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45" w:hRule="atLeast"/>
        </w:trPr>
        <w:tc>
          <w:tcPr>
            <w:tcW w:w="1639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G4</w:t>
            </w:r>
          </w:p>
        </w:tc>
        <w:tc>
          <w:tcPr>
            <w:tcW w:w="217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临床前开发完成 (GLP)</w:t>
            </w:r>
          </w:p>
        </w:tc>
        <w:tc>
          <w:tcPr>
            <w:tcW w:w="30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完成所有GLP毒理研究、药效及药代动力学研究，具备申请IND条件</w:t>
            </w:r>
          </w:p>
        </w:tc>
        <w:tc>
          <w:tcPr>
            <w:tcW w:w="336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GLP毒理报告、药效总结报告、CMC</w:t>
            </w:r>
            <w:r>
              <w:rPr>
                <w:rFonts w:hint="eastAsia"/>
              </w:rPr>
              <w:t>初步</w:t>
            </w:r>
            <w:r>
              <w:t>总结报告</w:t>
            </w:r>
            <w:r>
              <w:rPr>
                <w:rFonts w:hint="eastAsia"/>
              </w:rPr>
              <w:t>、专利FTO报告</w:t>
            </w:r>
          </w:p>
        </w:tc>
        <w:tc>
          <w:tcPr>
            <w:tcW w:w="18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新药生物部 /新药化学部</w:t>
            </w:r>
          </w:p>
        </w:tc>
        <w:tc>
          <w:tcPr>
            <w:tcW w:w="178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PMC评审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40" w:hRule="atLeast"/>
        </w:trPr>
        <w:tc>
          <w:tcPr>
            <w:tcW w:w="1639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G5</w:t>
            </w:r>
          </w:p>
        </w:tc>
        <w:tc>
          <w:tcPr>
            <w:tcW w:w="217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临床试验申请获批 (IND)</w:t>
            </w:r>
          </w:p>
        </w:tc>
        <w:tc>
          <w:tcPr>
            <w:tcW w:w="30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正式向监管机构（如NMPA、FDA）递交IND申请并获批</w:t>
            </w:r>
          </w:p>
        </w:tc>
        <w:tc>
          <w:tcPr>
            <w:tcW w:w="336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IND申报资料、受理通知书、临床试验批件/默示许可文件</w:t>
            </w:r>
          </w:p>
        </w:tc>
        <w:tc>
          <w:tcPr>
            <w:tcW w:w="18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药政合规部</w:t>
            </w:r>
          </w:p>
        </w:tc>
        <w:tc>
          <w:tcPr>
            <w:tcW w:w="178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PMC评审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58" w:hRule="atLeast"/>
        </w:trPr>
        <w:tc>
          <w:tcPr>
            <w:tcW w:w="1639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G6</w:t>
            </w:r>
          </w:p>
        </w:tc>
        <w:tc>
          <w:tcPr>
            <w:tcW w:w="217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</w:t>
            </w:r>
            <w:r>
              <w:rPr>
                <w:rFonts w:hint="eastAsia"/>
              </w:rPr>
              <w:sym w:font="Symbol" w:char="F049"/>
            </w:r>
            <w:r>
              <w:t>期</w:t>
            </w:r>
          </w:p>
        </w:tc>
        <w:tc>
          <w:tcPr>
            <w:tcW w:w="30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完成健康受试者或患者的药代动力学、安全性和耐受性研究</w:t>
            </w:r>
          </w:p>
        </w:tc>
        <w:tc>
          <w:tcPr>
            <w:tcW w:w="336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</w:t>
            </w:r>
            <w:r>
              <w:rPr>
                <w:rFonts w:hint="eastAsia"/>
              </w:rPr>
              <w:sym w:font="Symbol" w:char="F049"/>
            </w:r>
            <w:r>
              <w:t>期总结报告、</w:t>
            </w:r>
            <w:r>
              <w:rPr>
                <w:rFonts w:hint="eastAsia"/>
              </w:rPr>
              <w:sym w:font="Symbol" w:char="F049"/>
            </w:r>
            <w:r>
              <w:t>期临床试验方案</w:t>
            </w:r>
          </w:p>
        </w:tc>
        <w:tc>
          <w:tcPr>
            <w:tcW w:w="18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新药临床部</w:t>
            </w:r>
          </w:p>
        </w:tc>
        <w:tc>
          <w:tcPr>
            <w:tcW w:w="178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PMC评审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35" w:hRule="atLeast"/>
        </w:trPr>
        <w:tc>
          <w:tcPr>
            <w:tcW w:w="1639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G7</w:t>
            </w:r>
          </w:p>
        </w:tc>
        <w:tc>
          <w:tcPr>
            <w:tcW w:w="217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</w:t>
            </w:r>
            <w:r>
              <w:rPr>
                <w:rFonts w:hint="eastAsia"/>
              </w:rPr>
              <w:sym w:font="Symbol" w:char="F049"/>
            </w:r>
            <w:r>
              <w:rPr>
                <w:rFonts w:hint="eastAsia"/>
              </w:rPr>
              <w:sym w:font="Symbol" w:char="F049"/>
            </w:r>
            <w:r>
              <w:t>期</w:t>
            </w:r>
          </w:p>
        </w:tc>
        <w:tc>
          <w:tcPr>
            <w:tcW w:w="30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完成在目标患者群体中的初步疗效和安全性验证</w:t>
            </w:r>
          </w:p>
        </w:tc>
        <w:tc>
          <w:tcPr>
            <w:tcW w:w="336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</w:t>
            </w:r>
            <w:r>
              <w:rPr>
                <w:rFonts w:hint="eastAsia"/>
              </w:rPr>
              <w:sym w:font="Symbol" w:char="F049"/>
            </w:r>
            <w:r>
              <w:rPr>
                <w:rFonts w:hint="eastAsia"/>
              </w:rPr>
              <w:sym w:font="Symbol" w:char="F049"/>
            </w:r>
            <w:r>
              <w:t>期总结报告、</w:t>
            </w:r>
            <w:r>
              <w:rPr>
                <w:rFonts w:hint="eastAsia"/>
              </w:rPr>
              <w:sym w:font="Symbol" w:char="F049"/>
            </w:r>
            <w:r>
              <w:rPr>
                <w:rFonts w:hint="eastAsia"/>
              </w:rPr>
              <w:sym w:font="Symbol" w:char="F049"/>
            </w:r>
            <w:r>
              <w:t>期临床试验方案、关键注册策略确认</w:t>
            </w:r>
          </w:p>
        </w:tc>
        <w:tc>
          <w:tcPr>
            <w:tcW w:w="18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新药临床部</w:t>
            </w:r>
          </w:p>
        </w:tc>
        <w:tc>
          <w:tcPr>
            <w:tcW w:w="178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PMC评审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88" w:hRule="atLeast"/>
        </w:trPr>
        <w:tc>
          <w:tcPr>
            <w:tcW w:w="1639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G8</w:t>
            </w:r>
          </w:p>
        </w:tc>
        <w:tc>
          <w:tcPr>
            <w:tcW w:w="217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</w:t>
            </w:r>
            <w:r>
              <w:rPr>
                <w:rFonts w:hint="eastAsia" w:ascii="微软雅黑" w:hAnsi="微软雅黑" w:eastAsia="微软雅黑" w:cs="微软雅黑"/>
              </w:rPr>
              <w:sym w:font="Symbol" w:char="F049"/>
            </w:r>
            <w:r>
              <w:rPr>
                <w:rFonts w:hint="eastAsia" w:ascii="微软雅黑" w:hAnsi="微软雅黑" w:eastAsia="微软雅黑" w:cs="微软雅黑"/>
              </w:rPr>
              <w:sym w:font="Symbol" w:char="F049"/>
            </w:r>
            <w:r>
              <w:rPr>
                <w:rFonts w:hint="eastAsia" w:ascii="微软雅黑" w:hAnsi="微软雅黑" w:eastAsia="微软雅黑" w:cs="微软雅黑"/>
              </w:rPr>
              <w:sym w:font="Symbol" w:char="F049"/>
            </w:r>
            <w:r>
              <w:t>期</w:t>
            </w:r>
          </w:p>
        </w:tc>
        <w:tc>
          <w:tcPr>
            <w:tcW w:w="30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完成关键性注册临床试验</w:t>
            </w:r>
          </w:p>
        </w:tc>
        <w:tc>
          <w:tcPr>
            <w:tcW w:w="336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</w:t>
            </w:r>
            <w:r>
              <w:rPr>
                <w:rFonts w:hint="eastAsia"/>
              </w:rPr>
              <w:sym w:font="Symbol" w:char="F049"/>
            </w:r>
            <w:r>
              <w:rPr>
                <w:rFonts w:hint="eastAsia"/>
              </w:rPr>
              <w:sym w:font="Symbol" w:char="F049"/>
            </w:r>
            <w:r>
              <w:rPr>
                <w:rFonts w:hint="eastAsia"/>
              </w:rPr>
              <w:sym w:font="Symbol" w:char="F049"/>
            </w:r>
            <w:r>
              <w:t>期临床研究报告</w:t>
            </w:r>
          </w:p>
        </w:tc>
        <w:tc>
          <w:tcPr>
            <w:tcW w:w="18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新药临床部</w:t>
            </w:r>
          </w:p>
        </w:tc>
        <w:tc>
          <w:tcPr>
            <w:tcW w:w="178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PMC评审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35" w:hRule="atLeast"/>
        </w:trPr>
        <w:tc>
          <w:tcPr>
            <w:tcW w:w="1639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G9</w:t>
            </w:r>
          </w:p>
        </w:tc>
        <w:tc>
          <w:tcPr>
            <w:tcW w:w="217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新药上市申请获批 (NDA)</w:t>
            </w:r>
          </w:p>
        </w:tc>
        <w:tc>
          <w:tcPr>
            <w:tcW w:w="30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向监管机构递交NDA并获批上市</w:t>
            </w:r>
          </w:p>
        </w:tc>
        <w:tc>
          <w:tcPr>
            <w:tcW w:w="336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NDA申报资料、受理通知书、药品注册证书</w:t>
            </w:r>
          </w:p>
        </w:tc>
        <w:tc>
          <w:tcPr>
            <w:tcW w:w="180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药政合规部</w:t>
            </w:r>
          </w:p>
        </w:tc>
        <w:tc>
          <w:tcPr>
            <w:tcW w:w="178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PMC结项评审</w:t>
            </w:r>
          </w:p>
        </w:tc>
      </w:tr>
    </w:tbl>
    <w:p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r>
        <w:rPr>
          <w:rFonts w:hint="eastAsia"/>
        </w:rPr>
        <w:t>*项目立项管理规程</w:t>
      </w:r>
    </w:p>
    <w:p>
      <w:pPr>
        <w:jc w:val="center"/>
        <w:rPr>
          <w:b/>
          <w:sz w:val="28"/>
        </w:rPr>
      </w:pPr>
      <w:r>
        <w:rPr>
          <w:b/>
          <w:sz w:val="28"/>
        </w:rPr>
        <w:t>第</w:t>
      </w:r>
      <w:r>
        <w:rPr>
          <w:rFonts w:hint="eastAsia"/>
          <w:b/>
          <w:sz w:val="28"/>
        </w:rPr>
        <w:t>五</w:t>
      </w:r>
      <w:r>
        <w:rPr>
          <w:b/>
          <w:sz w:val="28"/>
        </w:rPr>
        <w:t>章 项目预算管理</w:t>
      </w:r>
    </w:p>
    <w:p>
      <w:pPr>
        <w:rPr>
          <w:b/>
        </w:rPr>
      </w:pPr>
      <w:r>
        <w:rPr>
          <w:b/>
        </w:rPr>
        <w:t>第九条 预算编制</w:t>
      </w:r>
      <w:r>
        <w:rPr>
          <w:rFonts w:hint="eastAsia"/>
          <w:b/>
        </w:rPr>
        <w:t>与审批</w:t>
      </w:r>
    </w:p>
    <w:p>
      <w:r>
        <w:rPr>
          <w:b/>
        </w:rPr>
        <w:t>全周期预算</w:t>
      </w:r>
      <w:r>
        <w:t>： 项目立项时，项目经理需组织团队编制项目全生命周期预算，覆盖从当前阶段至NDA的所有预期费用。</w:t>
      </w:r>
    </w:p>
    <w:p>
      <w:r>
        <w:rPr>
          <w:b/>
        </w:rPr>
        <w:t>年度/阶段滚动预算</w:t>
      </w:r>
      <w:r>
        <w:t>： 每年/每进入下一里程碑阶段前，项目经理需更新并提交下一阶段的详细预算。</w:t>
      </w:r>
    </w:p>
    <w:p>
      <w:r>
        <w:rPr>
          <w:b/>
        </w:rPr>
        <w:t>费用分类</w:t>
      </w:r>
      <w:r>
        <w:t>： 预算需明确分为内部研发费用（人力、实验耗材、设备折旧）和外部费用（CRO/CDMO、临床中心、第三方服务、注册费用）。</w:t>
      </w:r>
    </w:p>
    <w:p>
      <w:r>
        <w:rPr>
          <w:rFonts w:hint="eastAsia"/>
        </w:rPr>
        <w:t>预算审批：</w:t>
      </w:r>
      <w:r>
        <w:t>项目预算由</w:t>
      </w:r>
      <w:r>
        <w:rPr>
          <w:rFonts w:hint="eastAsia"/>
        </w:rPr>
        <w:t>总经理审核、董事长</w:t>
      </w:r>
      <w:r>
        <w:t>审批</w:t>
      </w:r>
      <w:r>
        <w:rPr>
          <w:rFonts w:hint="eastAsia"/>
        </w:rPr>
        <w:t>，报效率管理部备案。</w:t>
      </w:r>
    </w:p>
    <w:p/>
    <w:p>
      <w:pPr>
        <w:rPr>
          <w:b/>
        </w:rPr>
      </w:pPr>
      <w:r>
        <w:rPr>
          <w:b/>
        </w:rPr>
        <w:t>第十条 预算执行与监控</w:t>
      </w:r>
    </w:p>
    <w:p>
      <w:r>
        <w:rPr>
          <w:b/>
        </w:rPr>
        <w:t>专款专用</w:t>
      </w:r>
      <w:r>
        <w:t>： 项目预算需在项目管理系统中单独建账，不得挪用。</w:t>
      </w:r>
    </w:p>
    <w:p>
      <w:r>
        <w:rPr>
          <w:b/>
        </w:rPr>
        <w:t>月度核算</w:t>
      </w:r>
      <w:r>
        <w:t>： 效率管理部每月出具项目预算执行报告，分析偏差原因。</w:t>
      </w:r>
    </w:p>
    <w:p>
      <w:r>
        <w:rPr>
          <w:b/>
        </w:rPr>
        <w:t>预警机制</w:t>
      </w:r>
      <w:r>
        <w:t>： 当项目实际支出达到阶段预算的80%时，</w:t>
      </w:r>
      <w:r>
        <w:rPr>
          <w:rFonts w:hint="eastAsia"/>
        </w:rPr>
        <w:t>发出黄色警告，</w:t>
      </w:r>
      <w:r>
        <w:t>系统自动向项目经理和部门负责人发出预警</w:t>
      </w:r>
      <w:bookmarkStart w:id="6" w:name="_GoBack"/>
      <w:bookmarkEnd w:id="6"/>
      <w:r>
        <w:t>；达到95%时，</w:t>
      </w:r>
      <w:r>
        <w:rPr>
          <w:rFonts w:hint="eastAsia"/>
        </w:rPr>
        <w:t>发出红色预警，</w:t>
      </w:r>
      <w:r>
        <w:t>需暂停支出并向PMC申请追加预算或调整计划。</w:t>
      </w:r>
    </w:p>
    <w:p/>
    <w:p>
      <w:pPr>
        <w:rPr>
          <w:b/>
        </w:rPr>
      </w:pPr>
      <w:r>
        <w:rPr>
          <w:b/>
        </w:rPr>
        <w:t>第十</w:t>
      </w:r>
      <w:r>
        <w:rPr>
          <w:rFonts w:hint="eastAsia"/>
          <w:b/>
        </w:rPr>
        <w:t>一</w:t>
      </w:r>
      <w:r>
        <w:rPr>
          <w:b/>
        </w:rPr>
        <w:t>条 预算变更</w:t>
      </w:r>
    </w:p>
    <w:p>
      <w:r>
        <w:t>任何超出原预算10%以上的变更，或因项目范围变更导致的预算调整，均需由</w:t>
      </w:r>
      <w:r>
        <w:rPr>
          <w:rFonts w:hint="eastAsia"/>
        </w:rPr>
        <w:t>研发</w:t>
      </w:r>
      <w:r>
        <w:t>项目</w:t>
      </w:r>
      <w:r>
        <w:rPr>
          <w:rFonts w:hint="eastAsia"/>
        </w:rPr>
        <w:t>组</w:t>
      </w:r>
      <w:r>
        <w:t>提交申请，说明变更原因及必要性，经PMC批准后方可执行。</w:t>
      </w:r>
    </w:p>
    <w:p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jc w:val="center"/>
        <w:rPr>
          <w:b/>
          <w:sz w:val="28"/>
        </w:rPr>
      </w:pPr>
      <w:r>
        <w:rPr>
          <w:b/>
          <w:sz w:val="28"/>
        </w:rPr>
        <w:t>第六章 项目管理流程</w:t>
      </w:r>
    </w:p>
    <w:p>
      <w:pPr>
        <w:rPr>
          <w:b/>
        </w:rPr>
      </w:pPr>
      <w:r>
        <w:rPr>
          <w:b/>
        </w:rPr>
        <w:t>第十</w:t>
      </w:r>
      <w:r>
        <w:rPr>
          <w:rFonts w:hint="eastAsia"/>
          <w:b/>
        </w:rPr>
        <w:t>二</w:t>
      </w:r>
      <w:r>
        <w:rPr>
          <w:b/>
        </w:rPr>
        <w:t>条 项目启动流程</w:t>
      </w:r>
    </w:p>
    <w:p>
      <w:r>
        <w:rPr>
          <w:b/>
        </w:rPr>
        <w:t>项目立项</w:t>
      </w:r>
      <w:r>
        <w:t>： 药资讯部发起</w:t>
      </w:r>
      <w:r>
        <w:rPr>
          <w:rFonts w:hint="eastAsia"/>
          <w:lang w:val="en-US" w:eastAsia="zh-CN"/>
        </w:rPr>
        <w:t>项目评估</w:t>
      </w:r>
      <w:r>
        <w:t>，</w:t>
      </w:r>
      <w:r>
        <w:rPr>
          <w:rFonts w:hint="eastAsia"/>
        </w:rPr>
        <w:t>PMC进行立项审评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确定立项后，</w:t>
      </w:r>
      <w:r>
        <w:t>新药资讯部</w:t>
      </w:r>
      <w:r>
        <w:rPr>
          <w:rFonts w:hint="eastAsia"/>
          <w:lang w:val="en-US" w:eastAsia="zh-CN"/>
        </w:rPr>
        <w:t>主导撰写立项报告、提交立项申请流程</w:t>
      </w:r>
      <w:r>
        <w:rPr>
          <w:rFonts w:hint="eastAsia"/>
        </w:rPr>
        <w:t>。</w:t>
      </w:r>
    </w:p>
    <w:p>
      <w:r>
        <w:rPr>
          <w:b/>
        </w:rPr>
        <w:t>制定计划</w:t>
      </w:r>
      <w:r>
        <w:t>： 项目经理</w:t>
      </w:r>
      <w:r>
        <w:rPr>
          <w:rFonts w:hint="eastAsia"/>
        </w:rPr>
        <w:t>协同研发项目组</w:t>
      </w:r>
      <w:r>
        <w:t>制定详细的项目计划，包括里程碑、关键路径、资源需求及阶段预算。</w:t>
      </w:r>
    </w:p>
    <w:p/>
    <w:p>
      <w:pPr>
        <w:rPr>
          <w:b/>
        </w:rPr>
      </w:pPr>
      <w:r>
        <w:rPr>
          <w:b/>
        </w:rPr>
        <w:t>第十</w:t>
      </w:r>
      <w:r>
        <w:rPr>
          <w:rFonts w:hint="eastAsia"/>
          <w:b/>
        </w:rPr>
        <w:t>三</w:t>
      </w:r>
      <w:r>
        <w:rPr>
          <w:b/>
        </w:rPr>
        <w:t>条 里程碑评审流程</w:t>
      </w:r>
    </w:p>
    <w:p>
      <w:r>
        <w:rPr>
          <w:b/>
        </w:rPr>
        <w:t>里程碑申请</w:t>
      </w:r>
      <w:r>
        <w:t>： </w:t>
      </w:r>
      <w:r>
        <w:rPr>
          <w:rFonts w:hint="eastAsia"/>
        </w:rPr>
        <w:t>研发</w:t>
      </w:r>
      <w:r>
        <w:t>项目</w:t>
      </w:r>
      <w:r>
        <w:rPr>
          <w:rFonts w:hint="eastAsia"/>
        </w:rPr>
        <w:t>组</w:t>
      </w:r>
      <w:r>
        <w:t>完成里程碑交付物后，项目经理向</w:t>
      </w:r>
      <w:r>
        <w:rPr>
          <w:rFonts w:hint="eastAsia"/>
        </w:rPr>
        <w:t>PMC</w:t>
      </w:r>
      <w:r>
        <w:t>申请召开里程碑评审会。</w:t>
      </w:r>
    </w:p>
    <w:p>
      <w:r>
        <w:rPr>
          <w:b/>
        </w:rPr>
        <w:t>资料准备</w:t>
      </w:r>
      <w:r>
        <w:t>： 各职能部门按“交付物清单”提交完整、规范的报告。</w:t>
      </w:r>
    </w:p>
    <w:p>
      <w:r>
        <w:rPr>
          <w:b/>
        </w:rPr>
        <w:t>评审会议</w:t>
      </w:r>
      <w:r>
        <w:t>： </w:t>
      </w:r>
      <w:r>
        <w:rPr>
          <w:rFonts w:hint="eastAsia"/>
        </w:rPr>
        <w:t>项目经理</w:t>
      </w:r>
      <w:r>
        <w:t>组织评审会，</w:t>
      </w:r>
      <w:r>
        <w:rPr>
          <w:rFonts w:hint="eastAsia"/>
        </w:rPr>
        <w:t>评审分“技术初评”和“PMC决策”两步。</w:t>
      </w:r>
      <w:r>
        <w:t>药政合规部对合规性出具意见，PMC进行最终决策。</w:t>
      </w:r>
    </w:p>
    <w:p>
      <w:pPr>
        <w:rPr>
          <w:b/>
        </w:rPr>
      </w:pPr>
    </w:p>
    <w:p>
      <w:pPr>
        <w:rPr>
          <w:b/>
        </w:rPr>
      </w:pPr>
      <w:r>
        <w:rPr>
          <w:b/>
        </w:rPr>
        <w:t>评审结果</w:t>
      </w:r>
      <w:r>
        <w:rPr>
          <w:rFonts w:hint="eastAsia"/>
          <w:b/>
        </w:rPr>
        <w:t>必须明确</w:t>
      </w:r>
      <w:r>
        <w:rPr>
          <w:b/>
        </w:rPr>
        <w:t>分为：</w:t>
      </w:r>
    </w:p>
    <w:p>
      <w:r>
        <w:rPr>
          <w:b/>
        </w:rPr>
        <w:t>通过（Go）</w:t>
      </w:r>
      <w:r>
        <w:t>： 批准进入下一阶段。</w:t>
      </w:r>
    </w:p>
    <w:p>
      <w:r>
        <w:rPr>
          <w:b/>
        </w:rPr>
        <w:t>有条件的通过（Conditional Go）</w:t>
      </w:r>
      <w:r>
        <w:t>： 需在规定时间内完成附加条件，经确认后方可进入下一阶段</w:t>
      </w:r>
      <w:r>
        <w:rPr>
          <w:rFonts w:hint="eastAsia"/>
        </w:rPr>
        <w:t>，通常观察期不超过3个月</w:t>
      </w:r>
      <w:r>
        <w:t>。</w:t>
      </w:r>
    </w:p>
    <w:p>
      <w:r>
        <w:rPr>
          <w:b/>
        </w:rPr>
        <w:t>不通过（No Go）</w:t>
      </w:r>
      <w:r>
        <w:t>： 项目</w:t>
      </w:r>
      <w:r>
        <w:rPr>
          <w:rFonts w:hint="eastAsia"/>
        </w:rPr>
        <w:t>大幅</w:t>
      </w:r>
      <w:r>
        <w:t>调整或终止。</w:t>
      </w:r>
    </w:p>
    <w:p/>
    <w:p>
      <w:pPr>
        <w:rPr>
          <w:b/>
        </w:rPr>
      </w:pPr>
      <w:r>
        <w:rPr>
          <w:b/>
        </w:rPr>
        <w:t>第十</w:t>
      </w:r>
      <w:r>
        <w:rPr>
          <w:rFonts w:hint="eastAsia"/>
          <w:b/>
        </w:rPr>
        <w:t>四</w:t>
      </w:r>
      <w:r>
        <w:rPr>
          <w:b/>
        </w:rPr>
        <w:t>条 项目变更与终止流程</w:t>
      </w:r>
    </w:p>
    <w:p>
      <w:r>
        <w:rPr>
          <w:b/>
        </w:rPr>
        <w:t>变更</w:t>
      </w:r>
      <w:r>
        <w:rPr>
          <w:rFonts w:hint="eastAsia"/>
          <w:b/>
        </w:rPr>
        <w:t>申请</w:t>
      </w:r>
      <w:r>
        <w:t>： 任何涉及项目目标、范围、关键里程碑、预算的重大变更，均需提交项目变更申请单，经PMC批准后执行。</w:t>
      </w:r>
      <w:r>
        <w:rPr>
          <w:rFonts w:hint="eastAsia"/>
        </w:rPr>
        <w:t>例如涉及“进度延期超过3个月、预算超支10%、关键TPP指标降低”均需提交申请。</w:t>
      </w:r>
    </w:p>
    <w:p/>
    <w:p>
      <w:r>
        <w:rPr>
          <w:b/>
        </w:rPr>
        <w:t>项目终止</w:t>
      </w:r>
      <w:r>
        <w:t>： 对于市场变化或战略调整的项目，项目经理提出项目终止建议，经PMC批准后，</w:t>
      </w:r>
      <w:r>
        <w:rPr>
          <w:rFonts w:hint="eastAsia"/>
        </w:rPr>
        <w:t>终止项目。项目经理</w:t>
      </w:r>
      <w:r>
        <w:t>组织进行项目总结、资料</w:t>
      </w:r>
      <w:r>
        <w:rPr>
          <w:rFonts w:hint="eastAsia"/>
        </w:rPr>
        <w:t>数据</w:t>
      </w:r>
      <w:r>
        <w:t>归档、资产处置</w:t>
      </w:r>
      <w:r>
        <w:rPr>
          <w:rFonts w:hint="eastAsia"/>
        </w:rPr>
        <w:t>，以上事项须在一个月内完成</w:t>
      </w:r>
      <w:r>
        <w:t>。</w:t>
      </w:r>
    </w:p>
    <w:p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jc w:val="center"/>
        <w:rPr>
          <w:b/>
          <w:sz w:val="28"/>
        </w:rPr>
      </w:pPr>
      <w:r>
        <w:rPr>
          <w:b/>
          <w:sz w:val="28"/>
        </w:rPr>
        <w:t>第七章 项目管理工具与文档</w:t>
      </w:r>
    </w:p>
    <w:p>
      <w:pPr>
        <w:rPr>
          <w:b/>
        </w:rPr>
      </w:pPr>
      <w:r>
        <w:rPr>
          <w:b/>
        </w:rPr>
        <w:t>第十</w:t>
      </w:r>
      <w:r>
        <w:rPr>
          <w:rFonts w:hint="eastAsia"/>
          <w:b/>
        </w:rPr>
        <w:t>五</w:t>
      </w:r>
      <w:r>
        <w:rPr>
          <w:b/>
        </w:rPr>
        <w:t>条 项目管理信息系统</w:t>
      </w:r>
      <w:r>
        <w:rPr>
          <w:rFonts w:hint="eastAsia"/>
          <w:b/>
        </w:rPr>
        <w:t>（PMS）</w:t>
      </w:r>
    </w:p>
    <w:p>
      <w:r>
        <w:t>效率管理部负责建立和维护项目管理信息系统，</w:t>
      </w:r>
      <w:r>
        <w:rPr>
          <w:rFonts w:hint="eastAsia"/>
        </w:rPr>
        <w:t>PMS是项目管理的唯一“事实来源”。所有进度更新、流程审批、预算执行必须线上运行。系统应具备甘特图看板和自动化报告生成功能，来</w:t>
      </w:r>
      <w:r>
        <w:t>实现项目计划、进度、预算、资源、文档、风险的集中化、可视化、实时化管理。</w:t>
      </w:r>
    </w:p>
    <w:p>
      <w:pPr>
        <w:rPr>
          <w:b/>
        </w:rPr>
      </w:pPr>
      <w:r>
        <w:rPr>
          <w:b/>
        </w:rPr>
        <w:t>第十</w:t>
      </w:r>
      <w:r>
        <w:rPr>
          <w:rFonts w:hint="eastAsia"/>
          <w:b/>
        </w:rPr>
        <w:t>六</w:t>
      </w:r>
      <w:r>
        <w:rPr>
          <w:b/>
        </w:rPr>
        <w:t>条 文档管理</w:t>
      </w:r>
    </w:p>
    <w:p>
      <w:r>
        <w:t>所有项目文档（实验记录、研究报告、会议纪要、申报资料、合同等）均需遵循公司《研发文档管理制度》，</w:t>
      </w:r>
      <w:r>
        <w:rPr>
          <w:rFonts w:hint="eastAsia"/>
        </w:rPr>
        <w:t>严禁文档个人化。</w:t>
      </w:r>
      <w:r>
        <w:t>在PMS或指定文档服务器中归档，确保其完整性、准确性和可追溯性。药政合规部负责对申报相关文档的合规性进行审查</w:t>
      </w:r>
      <w:r>
        <w:rPr>
          <w:rFonts w:hint="eastAsia"/>
        </w:rPr>
        <w:t>，文档合规性将直接影响该阶段的里程碑评审结果。</w:t>
      </w:r>
    </w:p>
    <w:p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jc w:val="center"/>
        <w:rPr>
          <w:b/>
          <w:sz w:val="28"/>
        </w:rPr>
      </w:pPr>
      <w:r>
        <w:rPr>
          <w:b/>
          <w:sz w:val="28"/>
        </w:rPr>
        <w:t>第</w:t>
      </w:r>
      <w:r>
        <w:rPr>
          <w:rFonts w:hint="eastAsia"/>
          <w:b/>
          <w:sz w:val="28"/>
        </w:rPr>
        <w:t>八</w:t>
      </w:r>
      <w:r>
        <w:rPr>
          <w:b/>
          <w:sz w:val="28"/>
        </w:rPr>
        <w:t>章 附则</w:t>
      </w:r>
    </w:p>
    <w:p>
      <w:pPr>
        <w:rPr>
          <w:b/>
        </w:rPr>
      </w:pPr>
      <w:r>
        <w:rPr>
          <w:b/>
        </w:rPr>
        <w:t>第</w:t>
      </w:r>
      <w:r>
        <w:rPr>
          <w:rFonts w:hint="eastAsia"/>
          <w:b/>
        </w:rPr>
        <w:t>十七</w:t>
      </w:r>
      <w:r>
        <w:rPr>
          <w:b/>
        </w:rPr>
        <w:t>条 解释权</w:t>
      </w:r>
    </w:p>
    <w:p>
      <w:r>
        <w:t>本制度由效率管理部负责解释和修订。</w:t>
      </w:r>
    </w:p>
    <w:p>
      <w:pPr>
        <w:rPr>
          <w:b/>
        </w:rPr>
      </w:pPr>
      <w:r>
        <w:rPr>
          <w:b/>
        </w:rPr>
        <w:t>第</w:t>
      </w:r>
      <w:r>
        <w:rPr>
          <w:rFonts w:hint="eastAsia"/>
          <w:b/>
        </w:rPr>
        <w:t>十八</w:t>
      </w:r>
      <w:r>
        <w:rPr>
          <w:b/>
        </w:rPr>
        <w:t>条 生效与修订</w:t>
      </w:r>
    </w:p>
    <w:p>
      <w:r>
        <w:t>本制度自发布之日起生效。效率管理部可根据公司</w:t>
      </w:r>
      <w:r>
        <w:rPr>
          <w:rFonts w:hint="eastAsia"/>
        </w:rPr>
        <w:t>战略</w:t>
      </w:r>
      <w:r>
        <w:t>对本制度进行审视与修订。</w:t>
      </w:r>
    </w:p>
    <w:p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r>
        <w:t>附件：</w:t>
      </w:r>
    </w:p>
    <w:p/>
    <w:p/>
    <w:p>
      <w:r>
        <w:t>附件</w:t>
      </w:r>
      <w:r>
        <w:rPr>
          <w:rFonts w:hint="eastAsia"/>
        </w:rPr>
        <w:t>一</w:t>
      </w:r>
      <w:r>
        <w:t>：项目立项模板</w:t>
      </w:r>
    </w:p>
    <w:p>
      <w:r>
        <w:t>附件</w:t>
      </w:r>
      <w:r>
        <w:rPr>
          <w:rFonts w:hint="eastAsia"/>
        </w:rPr>
        <w:t>二</w:t>
      </w:r>
      <w:r>
        <w:t>：项目计划与预算模板</w:t>
      </w:r>
    </w:p>
    <w:p>
      <w:r>
        <w:t>附件</w:t>
      </w:r>
      <w:r>
        <w:rPr>
          <w:rFonts w:hint="eastAsia"/>
        </w:rPr>
        <w:t>三</w:t>
      </w:r>
      <w:r>
        <w:t>：里程碑评审交付物清单</w:t>
      </w:r>
    </w:p>
    <w:p>
      <w:r>
        <w:t>附件</w:t>
      </w:r>
      <w:r>
        <w:rPr>
          <w:rFonts w:hint="eastAsia"/>
        </w:rPr>
        <w:t>四</w:t>
      </w:r>
      <w:r>
        <w:t>：项目变更申请单</w:t>
      </w:r>
    </w:p>
    <w:p>
      <w:r>
        <w:t>附件</w:t>
      </w:r>
      <w:r>
        <w:rPr>
          <w:rFonts w:hint="eastAsia"/>
        </w:rPr>
        <w:t>五</w:t>
      </w:r>
      <w:r>
        <w:t>：项目结项报告模板</w:t>
      </w:r>
    </w:p>
    <w:p/>
    <w:p/>
    <w:p/>
    <w:p/>
    <w:p/>
    <w:p/>
    <w:p/>
    <w:p/>
    <w:p/>
    <w:p/>
    <w:p/>
    <w:p/>
    <w:p/>
    <w:p/>
    <w:p/>
    <w:p/>
    <w:p/>
    <w:p/>
    <w:p/>
    <w:p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r>
        <w:t>附件</w:t>
      </w:r>
      <w:r>
        <w:rPr>
          <w:rFonts w:hint="eastAsia"/>
        </w:rPr>
        <w:t>一</w:t>
      </w:r>
      <w:r>
        <w:t>：项目立项模板</w:t>
      </w:r>
    </w:p>
    <w:tbl>
      <w:tblPr>
        <w:tblStyle w:val="11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0"/>
        <w:gridCol w:w="5469"/>
        <w:gridCol w:w="1980"/>
        <w:gridCol w:w="4990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80" w:type="dxa"/>
            <w:tcBorders>
              <w:top w:val="nil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项目名称</w:t>
            </w:r>
          </w:p>
        </w:tc>
        <w:tc>
          <w:tcPr>
            <w:tcW w:w="5469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[填写项目代号/名称]</w:t>
            </w:r>
          </w:p>
        </w:tc>
        <w:tc>
          <w:tcPr>
            <w:tcW w:w="1980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建议日期</w:t>
            </w:r>
          </w:p>
        </w:tc>
        <w:tc>
          <w:tcPr>
            <w:tcW w:w="4990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0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项目分级建议</w:t>
            </w:r>
          </w:p>
        </w:tc>
        <w:tc>
          <w:tcPr>
            <w:tcW w:w="5469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rPr>
                <w:lang w:val="pt-PT"/>
              </w:rPr>
            </w:pPr>
            <w:r>
              <w:rPr>
                <w:lang w:val="pt-PT"/>
              </w:rPr>
              <w:t xml:space="preserve">□ H-L □ G-L □ </w:t>
            </w:r>
            <w:r>
              <w:rPr>
                <w:rFonts w:hint="eastAsia"/>
                <w:lang w:val="pt-PT"/>
              </w:rPr>
              <w:t>H-Q</w:t>
            </w:r>
            <w:r>
              <w:rPr>
                <w:lang w:val="pt-PT"/>
              </w:rPr>
              <w:t xml:space="preserve"> □ </w:t>
            </w:r>
            <w:r>
              <w:rPr>
                <w:rFonts w:hint="eastAsia"/>
                <w:lang w:val="pt-PT"/>
              </w:rPr>
              <w:t>G-Q</w:t>
            </w:r>
            <w:r>
              <w:rPr>
                <w:lang w:val="pt-PT"/>
              </w:rPr>
              <w:t xml:space="preserve"> □ </w:t>
            </w:r>
            <w:r>
              <w:rPr>
                <w:rFonts w:hint="eastAsia"/>
                <w:lang w:val="pt-PT"/>
              </w:rPr>
              <w:t>G-T</w:t>
            </w:r>
            <w:r>
              <w:rPr>
                <w:lang w:val="pt-PT"/>
              </w:rPr>
              <w:t xml:space="preserve"> □ </w:t>
            </w:r>
            <w:bookmarkStart w:id="0" w:name="OLE_LINK4"/>
            <w:bookmarkStart w:id="1" w:name="OLE_LINK3"/>
            <w:r>
              <w:rPr>
                <w:rFonts w:hint="eastAsia"/>
                <w:lang w:val="pt-PT"/>
              </w:rPr>
              <w:t>C-L/</w:t>
            </w:r>
            <w:r>
              <w:rPr>
                <w:lang w:val="pt-PT"/>
              </w:rPr>
              <w:t>C-Q</w:t>
            </w:r>
            <w:bookmarkEnd w:id="0"/>
            <w:bookmarkEnd w:id="1"/>
          </w:p>
        </w:tc>
        <w:tc>
          <w:tcPr>
            <w:tcW w:w="198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建议人</w:t>
            </w:r>
          </w:p>
        </w:tc>
        <w:tc>
          <w:tcPr>
            <w:tcW w:w="4990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[姓名/部门]</w:t>
            </w:r>
          </w:p>
        </w:tc>
      </w:tr>
    </w:tbl>
    <w:p>
      <w:r>
        <w:t>1. 项目背景与依据</w:t>
      </w:r>
    </w:p>
    <w:p/>
    <w:p>
      <w:r>
        <w:t>靶点/通路： [描述靶点名称、生物学机制]</w:t>
      </w:r>
    </w:p>
    <w:p/>
    <w:p/>
    <w:p>
      <w:r>
        <w:t>适应症： [拟定适应症]</w:t>
      </w:r>
    </w:p>
    <w:p/>
    <w:p/>
    <w:p>
      <w:r>
        <w:t>未满足的临床需求： [简述现有治疗方案的局限性]</w:t>
      </w:r>
    </w:p>
    <w:p/>
    <w:p/>
    <w:p>
      <w:r>
        <w:t>科学依据： [支持靶点与疾病关联性的关键文献/数据]</w:t>
      </w:r>
    </w:p>
    <w:p/>
    <w:p>
      <w:r>
        <w:t>2. 目标产品概况 (TPP) 初拟</w:t>
      </w:r>
    </w:p>
    <w:p/>
    <w:p>
      <w:r>
        <w:t>预期适应症： [具体描述]</w:t>
      </w:r>
    </w:p>
    <w:p/>
    <w:p/>
    <w:p>
      <w:r>
        <w:t>目标产品</w:t>
      </w:r>
      <w:r>
        <w:rPr>
          <w:rFonts w:hint="eastAsia"/>
          <w:lang w:val="en-US" w:eastAsia="zh-CN"/>
        </w:rPr>
        <w:t>预期</w:t>
      </w:r>
      <w:r>
        <w:t>特征： [如：给药途径（口服/注射）、剂型、剂量频率（QD/BID）、预期疗效指标、安全性优势]</w:t>
      </w:r>
    </w:p>
    <w:p/>
    <w:p/>
    <w:p>
      <w:r>
        <w:t>差异化优势： [与现有/在研竞品相比，本产品的</w:t>
      </w:r>
      <w:r>
        <w:rPr>
          <w:rFonts w:hint="eastAsia"/>
          <w:lang w:val="en-US" w:eastAsia="zh-CN"/>
        </w:rPr>
        <w:t>预期</w:t>
      </w:r>
      <w:r>
        <w:t>核心优势]</w:t>
      </w:r>
    </w:p>
    <w:p/>
    <w:p>
      <w:r>
        <w:t>3. . 项目计划与预算概算</w:t>
      </w:r>
    </w:p>
    <w:p/>
    <w:p>
      <w:r>
        <w:t>关键里程碑预估时间：</w:t>
      </w:r>
    </w:p>
    <w:p/>
    <w:p/>
    <w:p>
      <w:r>
        <w:t>PCC提名：YYYY-QX</w:t>
      </w:r>
    </w:p>
    <w:p/>
    <w:p/>
    <w:p>
      <w:r>
        <w:t>IND获批：YYYY-QX</w:t>
      </w:r>
    </w:p>
    <w:p/>
    <w:p/>
    <w:p>
      <w:r>
        <w:t>NDA获批：YYYY-QX</w:t>
      </w:r>
    </w:p>
    <w:p/>
    <w:p/>
    <w:p>
      <w:r>
        <w:t>预估总投入： [填写从立项到NDA的预估总费用，单位：万元]</w:t>
      </w:r>
    </w:p>
    <w:p/>
    <w:p/>
    <w:p>
      <w:r>
        <w:t>阶段预算（至PCC）： [填写到达PCC节点的预估费用，单位：万元]</w:t>
      </w:r>
    </w:p>
    <w:p/>
    <w:p>
      <w:r>
        <w:t>5. 项目风险评估</w:t>
      </w:r>
    </w:p>
    <w:p/>
    <w:p>
      <w:r>
        <w:t>科学风险： [靶点有效性风险、成药性风险、安全性风险]</w:t>
      </w:r>
    </w:p>
    <w:p/>
    <w:p/>
    <w:p>
      <w:r>
        <w:t>竞争风险： [主要竞品进展]</w:t>
      </w:r>
    </w:p>
    <w:p/>
    <w:p/>
    <w:p>
      <w:r>
        <w:t>注册风险： [法规路径不确定性]</w:t>
      </w:r>
    </w:p>
    <w:p/>
    <w:p>
      <w:r>
        <w:t>6. 建议与所需支持</w:t>
      </w:r>
    </w:p>
    <w:p/>
    <w:p>
      <w:r>
        <w:t>[简述需要PMC提供的资源或决策支持]</w:t>
      </w:r>
    </w:p>
    <w:p/>
    <w:p/>
    <w:p/>
    <w:p/>
    <w:p/>
    <w:p/>
    <w:p/>
    <w:p/>
    <w:p/>
    <w:p/>
    <w:p/>
    <w:p/>
    <w:p/>
    <w:p/>
    <w:p/>
    <w:p/>
    <w:p/>
    <w:p/>
    <w:p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r>
        <w:t>附件</w:t>
      </w:r>
      <w:r>
        <w:rPr>
          <w:rFonts w:hint="eastAsia"/>
        </w:rPr>
        <w:t>二</w:t>
      </w:r>
      <w:r>
        <w:t>：项目计划与预算模板</w:t>
      </w:r>
    </w:p>
    <w:tbl>
      <w:tblPr>
        <w:tblStyle w:val="11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4633"/>
        <w:gridCol w:w="2220"/>
        <w:gridCol w:w="5500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76" w:type="dxa"/>
            <w:tcBorders>
              <w:top w:val="nil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项目名称</w:t>
            </w:r>
          </w:p>
        </w:tc>
        <w:tc>
          <w:tcPr>
            <w:tcW w:w="4633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[填写项目名称]</w:t>
            </w:r>
          </w:p>
        </w:tc>
        <w:tc>
          <w:tcPr>
            <w:tcW w:w="2220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版本号</w:t>
            </w:r>
          </w:p>
        </w:tc>
        <w:tc>
          <w:tcPr>
            <w:tcW w:w="5500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V1.0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项目经理</w:t>
            </w:r>
          </w:p>
        </w:tc>
        <w:tc>
          <w:tcPr>
            <w:tcW w:w="4633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[姓名]</w:t>
            </w:r>
          </w:p>
        </w:tc>
        <w:tc>
          <w:tcPr>
            <w:tcW w:w="222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更新日期</w:t>
            </w:r>
          </w:p>
        </w:tc>
        <w:tc>
          <w:tcPr>
            <w:tcW w:w="5500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YYYY-MM-DD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76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项目分级</w:t>
            </w:r>
          </w:p>
        </w:tc>
        <w:tc>
          <w:tcPr>
            <w:tcW w:w="4633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rPr>
                <w:lang w:val="pt-PT"/>
              </w:rPr>
            </w:pPr>
            <w:r>
              <w:rPr>
                <w:lang w:val="pt-PT"/>
              </w:rPr>
              <w:t>[H-L / G-L /</w:t>
            </w:r>
            <w:r>
              <w:rPr>
                <w:rFonts w:hint="eastAsia"/>
                <w:lang w:val="pt-PT"/>
              </w:rPr>
              <w:t xml:space="preserve"> H-Q</w:t>
            </w:r>
            <w:r>
              <w:rPr>
                <w:lang w:val="pt-PT"/>
              </w:rPr>
              <w:t xml:space="preserve"> / </w:t>
            </w:r>
            <w:r>
              <w:rPr>
                <w:rFonts w:hint="eastAsia"/>
                <w:lang w:val="pt-PT"/>
              </w:rPr>
              <w:t>G-Q</w:t>
            </w:r>
            <w:r>
              <w:rPr>
                <w:lang w:val="pt-PT"/>
              </w:rPr>
              <w:t xml:space="preserve"> / </w:t>
            </w:r>
            <w:r>
              <w:rPr>
                <w:rFonts w:hint="eastAsia"/>
                <w:lang w:val="pt-PT"/>
              </w:rPr>
              <w:t>G-T</w:t>
            </w:r>
            <w:r>
              <w:rPr>
                <w:lang w:val="pt-PT"/>
              </w:rPr>
              <w:t xml:space="preserve"> / </w:t>
            </w:r>
            <w:r>
              <w:rPr>
                <w:rFonts w:hint="eastAsia"/>
                <w:lang w:val="pt-PT"/>
              </w:rPr>
              <w:t>C-L</w:t>
            </w:r>
            <w:r>
              <w:rPr>
                <w:lang w:val="pt-PT"/>
              </w:rPr>
              <w:t xml:space="preserve"> </w:t>
            </w:r>
            <w:r>
              <w:rPr>
                <w:rFonts w:hint="eastAsia"/>
                <w:lang w:val="pt-PT"/>
              </w:rPr>
              <w:t>/</w:t>
            </w:r>
            <w:r>
              <w:rPr>
                <w:lang w:val="pt-PT"/>
              </w:rPr>
              <w:t xml:space="preserve"> C-Q]</w:t>
            </w:r>
          </w:p>
        </w:tc>
        <w:tc>
          <w:tcPr>
            <w:tcW w:w="222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当前阶段</w:t>
            </w:r>
          </w:p>
        </w:tc>
        <w:tc>
          <w:tcPr>
            <w:tcW w:w="5500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[如：PCC准备阶段]</w:t>
            </w:r>
          </w:p>
        </w:tc>
      </w:tr>
    </w:tbl>
    <w:p/>
    <w:tbl>
      <w:tblPr>
        <w:tblStyle w:val="11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0"/>
        <w:gridCol w:w="2333"/>
        <w:gridCol w:w="2186"/>
        <w:gridCol w:w="2940"/>
        <w:gridCol w:w="1752"/>
        <w:gridCol w:w="1728"/>
        <w:gridCol w:w="1266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2" w:hRule="atLeast"/>
        </w:trPr>
        <w:tc>
          <w:tcPr>
            <w:tcW w:w="0" w:type="auto"/>
            <w:tcBorders>
              <w:top w:val="nil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里程碑代码</w:t>
            </w:r>
          </w:p>
        </w:tc>
        <w:tc>
          <w:tcPr>
            <w:tcW w:w="2333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里程碑名称</w:t>
            </w:r>
          </w:p>
        </w:tc>
        <w:tc>
          <w:tcPr>
            <w:tcW w:w="2186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计划开始日期</w:t>
            </w:r>
          </w:p>
        </w:tc>
        <w:tc>
          <w:tcPr>
            <w:tcW w:w="2940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计划完成日期</w:t>
            </w:r>
          </w:p>
        </w:tc>
        <w:tc>
          <w:tcPr>
            <w:tcW w:w="1752" w:type="dxa"/>
            <w:tcBorders>
              <w:top w:val="nil"/>
            </w:tcBorders>
          </w:tcPr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hint="eastAsia"/>
              </w:rPr>
              <w:t>研发预算</w:t>
            </w:r>
          </w:p>
          <w:p>
            <w:pPr>
              <w:jc w:val="center"/>
            </w:pPr>
          </w:p>
          <w:p>
            <w:pPr>
              <w:jc w:val="center"/>
            </w:pPr>
          </w:p>
        </w:tc>
        <w:tc>
          <w:tcPr>
            <w:tcW w:w="1728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主导部门</w:t>
            </w:r>
          </w:p>
        </w:tc>
        <w:tc>
          <w:tcPr>
            <w:tcW w:w="1266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状态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2" w:hRule="atLeast"/>
        </w:trPr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G0</w:t>
            </w:r>
          </w:p>
        </w:tc>
        <w:tc>
          <w:tcPr>
            <w:tcW w:w="2333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项目立项</w:t>
            </w:r>
          </w:p>
        </w:tc>
        <w:tc>
          <w:tcPr>
            <w:tcW w:w="2186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294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1752" w:type="dxa"/>
          </w:tcPr>
          <w:p/>
        </w:tc>
        <w:tc>
          <w:tcPr>
            <w:tcW w:w="172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新药资讯部</w:t>
            </w:r>
          </w:p>
        </w:tc>
        <w:tc>
          <w:tcPr>
            <w:tcW w:w="1266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已完成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2" w:hRule="atLeast"/>
        </w:trPr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G1</w:t>
            </w:r>
          </w:p>
        </w:tc>
        <w:tc>
          <w:tcPr>
            <w:tcW w:w="2333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先导化合物确认</w:t>
            </w:r>
          </w:p>
        </w:tc>
        <w:tc>
          <w:tcPr>
            <w:tcW w:w="2186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294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1752" w:type="dxa"/>
          </w:tcPr>
          <w:p/>
        </w:tc>
        <w:tc>
          <w:tcPr>
            <w:tcW w:w="172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新药化学部</w:t>
            </w:r>
          </w:p>
        </w:tc>
        <w:tc>
          <w:tcPr>
            <w:tcW w:w="1266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进行中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27" w:hRule="atLeast"/>
        </w:trPr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G2</w:t>
            </w:r>
          </w:p>
        </w:tc>
        <w:tc>
          <w:tcPr>
            <w:tcW w:w="2333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优选化合物</w:t>
            </w:r>
          </w:p>
        </w:tc>
        <w:tc>
          <w:tcPr>
            <w:tcW w:w="2186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294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1752" w:type="dxa"/>
          </w:tcPr>
          <w:p/>
        </w:tc>
        <w:tc>
          <w:tcPr>
            <w:tcW w:w="172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新药化学部</w:t>
            </w:r>
          </w:p>
        </w:tc>
        <w:tc>
          <w:tcPr>
            <w:tcW w:w="1266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未开始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2" w:hRule="atLeast"/>
        </w:trPr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G3</w:t>
            </w:r>
          </w:p>
        </w:tc>
        <w:tc>
          <w:tcPr>
            <w:tcW w:w="2333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候选化合物提名 (PCC)</w:t>
            </w:r>
          </w:p>
        </w:tc>
        <w:tc>
          <w:tcPr>
            <w:tcW w:w="2186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294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1752" w:type="dxa"/>
          </w:tcPr>
          <w:p/>
        </w:tc>
        <w:tc>
          <w:tcPr>
            <w:tcW w:w="172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</w:t>
            </w:r>
            <w:r>
              <w:rPr>
                <w:rFonts w:hint="eastAsia"/>
              </w:rPr>
              <w:t>化学部</w:t>
            </w:r>
          </w:p>
        </w:tc>
        <w:tc>
          <w:tcPr>
            <w:tcW w:w="1266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未开始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85" w:hRule="atLeast"/>
        </w:trPr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G4</w:t>
            </w:r>
          </w:p>
        </w:tc>
        <w:tc>
          <w:tcPr>
            <w:tcW w:w="2333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临床前开发完成 (GLP)</w:t>
            </w:r>
          </w:p>
        </w:tc>
        <w:tc>
          <w:tcPr>
            <w:tcW w:w="2186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294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1752" w:type="dxa"/>
          </w:tcPr>
          <w:p/>
        </w:tc>
        <w:tc>
          <w:tcPr>
            <w:tcW w:w="172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新药生物部 新药化学部</w:t>
            </w:r>
          </w:p>
        </w:tc>
        <w:tc>
          <w:tcPr>
            <w:tcW w:w="1266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未开始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2" w:hRule="atLeast"/>
        </w:trPr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G5</w:t>
            </w:r>
          </w:p>
        </w:tc>
        <w:tc>
          <w:tcPr>
            <w:tcW w:w="2333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临床试验申请获批 (IND)</w:t>
            </w:r>
          </w:p>
        </w:tc>
        <w:tc>
          <w:tcPr>
            <w:tcW w:w="2186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...</w:t>
            </w:r>
          </w:p>
        </w:tc>
        <w:tc>
          <w:tcPr>
            <w:tcW w:w="294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...</w:t>
            </w:r>
          </w:p>
        </w:tc>
        <w:tc>
          <w:tcPr>
            <w:tcW w:w="1752" w:type="dxa"/>
          </w:tcPr>
          <w:p/>
        </w:tc>
        <w:tc>
          <w:tcPr>
            <w:tcW w:w="172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药政合规部</w:t>
            </w:r>
          </w:p>
        </w:tc>
        <w:tc>
          <w:tcPr>
            <w:tcW w:w="1266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...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2" w:hRule="atLeast"/>
        </w:trPr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G6</w:t>
            </w:r>
          </w:p>
        </w:tc>
        <w:tc>
          <w:tcPr>
            <w:tcW w:w="2333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临床</w:t>
            </w:r>
            <w:r>
              <w:rPr/>
              <w:sym w:font="Symbol" w:char="F049"/>
            </w:r>
            <w:r>
              <w:rPr>
                <w:rFonts w:hint="eastAsia"/>
              </w:rPr>
              <w:t>期</w:t>
            </w:r>
          </w:p>
        </w:tc>
        <w:tc>
          <w:tcPr>
            <w:tcW w:w="2186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294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1752" w:type="dxa"/>
          </w:tcPr>
          <w:p/>
        </w:tc>
        <w:tc>
          <w:tcPr>
            <w:tcW w:w="172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新药临床部</w:t>
            </w:r>
          </w:p>
        </w:tc>
        <w:tc>
          <w:tcPr>
            <w:tcW w:w="1266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/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2" w:hRule="atLeast"/>
        </w:trPr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G7</w:t>
            </w:r>
          </w:p>
        </w:tc>
        <w:tc>
          <w:tcPr>
            <w:tcW w:w="2333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临床</w:t>
            </w:r>
            <w:r>
              <w:rPr/>
              <w:sym w:font="Symbol" w:char="F049"/>
            </w:r>
            <w:r>
              <w:rPr/>
              <w:sym w:font="Symbol" w:char="F049"/>
            </w:r>
            <w:r>
              <w:rPr>
                <w:rFonts w:hint="eastAsia"/>
              </w:rPr>
              <w:t>期</w:t>
            </w:r>
          </w:p>
        </w:tc>
        <w:tc>
          <w:tcPr>
            <w:tcW w:w="2186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294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1752" w:type="dxa"/>
          </w:tcPr>
          <w:p/>
        </w:tc>
        <w:tc>
          <w:tcPr>
            <w:tcW w:w="172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新药临床部</w:t>
            </w:r>
          </w:p>
        </w:tc>
        <w:tc>
          <w:tcPr>
            <w:tcW w:w="1266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/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2" w:hRule="atLeast"/>
        </w:trPr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G8</w:t>
            </w:r>
          </w:p>
        </w:tc>
        <w:tc>
          <w:tcPr>
            <w:tcW w:w="2333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临床</w:t>
            </w:r>
            <w:r>
              <w:rPr>
                <w:rFonts w:ascii="微软雅黑" w:hAnsi="微软雅黑" w:eastAsia="微软雅黑" w:cs="微软雅黑"/>
              </w:rPr>
              <w:sym w:font="Symbol" w:char="F049"/>
            </w:r>
            <w:r>
              <w:rPr>
                <w:rFonts w:ascii="微软雅黑" w:hAnsi="微软雅黑" w:eastAsia="微软雅黑" w:cs="微软雅黑"/>
              </w:rPr>
              <w:sym w:font="Symbol" w:char="F049"/>
            </w:r>
            <w:r>
              <w:rPr>
                <w:rFonts w:ascii="微软雅黑" w:hAnsi="微软雅黑" w:eastAsia="微软雅黑" w:cs="微软雅黑"/>
              </w:rPr>
              <w:sym w:font="Symbol" w:char="F049"/>
            </w:r>
            <w:r>
              <w:rPr>
                <w:rFonts w:hint="eastAsia"/>
              </w:rPr>
              <w:t>期</w:t>
            </w:r>
          </w:p>
        </w:tc>
        <w:tc>
          <w:tcPr>
            <w:tcW w:w="2186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294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1752" w:type="dxa"/>
          </w:tcPr>
          <w:p/>
        </w:tc>
        <w:tc>
          <w:tcPr>
            <w:tcW w:w="172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新药临床部</w:t>
            </w:r>
          </w:p>
        </w:tc>
        <w:tc>
          <w:tcPr>
            <w:tcW w:w="1266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/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2" w:hRule="atLeast"/>
        </w:trPr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G9</w:t>
            </w:r>
          </w:p>
        </w:tc>
        <w:tc>
          <w:tcPr>
            <w:tcW w:w="2333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新药上市申请获批</w:t>
            </w:r>
            <w:r>
              <w:t xml:space="preserve"> (NDA)</w:t>
            </w:r>
          </w:p>
        </w:tc>
        <w:tc>
          <w:tcPr>
            <w:tcW w:w="2186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294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1752" w:type="dxa"/>
          </w:tcPr>
          <w:p/>
        </w:tc>
        <w:tc>
          <w:tcPr>
            <w:tcW w:w="172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药政合规部</w:t>
            </w:r>
          </w:p>
        </w:tc>
        <w:tc>
          <w:tcPr>
            <w:tcW w:w="1266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/>
        </w:tc>
      </w:tr>
    </w:tbl>
    <w:p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/>
    <w:p/>
    <w:p/>
    <w:p/>
    <w:p/>
    <w:p/>
    <w:p>
      <w:r>
        <w:t>附件</w:t>
      </w:r>
      <w:r>
        <w:rPr>
          <w:rFonts w:hint="eastAsia"/>
        </w:rPr>
        <w:t>三</w:t>
      </w:r>
      <w:r>
        <w:t>：里程碑评审交付物清单</w:t>
      </w:r>
    </w:p>
    <w:tbl>
      <w:tblPr>
        <w:tblStyle w:val="11"/>
        <w:tblW w:w="1377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1"/>
        <w:gridCol w:w="2322"/>
        <w:gridCol w:w="5529"/>
        <w:gridCol w:w="2144"/>
        <w:gridCol w:w="2691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里程碑代码</w:t>
            </w:r>
          </w:p>
        </w:tc>
        <w:tc>
          <w:tcPr>
            <w:tcW w:w="0" w:type="auto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里程碑名称</w:t>
            </w:r>
          </w:p>
        </w:tc>
        <w:tc>
          <w:tcPr>
            <w:tcW w:w="0" w:type="auto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核心交付物（*为必须提供）</w:t>
            </w:r>
          </w:p>
        </w:tc>
        <w:tc>
          <w:tcPr>
            <w:tcW w:w="0" w:type="auto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主导部门</w:t>
            </w:r>
          </w:p>
        </w:tc>
        <w:tc>
          <w:tcPr>
            <w:tcW w:w="2690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评审重点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G0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项目立项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立项</w:t>
            </w:r>
            <w:r>
              <w:rPr>
                <w:rFonts w:hint="eastAsia"/>
              </w:rPr>
              <w:t>报告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新药资讯部</w:t>
            </w:r>
          </w:p>
        </w:tc>
        <w:tc>
          <w:tcPr>
            <w:tcW w:w="2690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战略匹配度、科学逻辑、差异化潜力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G1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先导化合物确认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先导化合物</w:t>
            </w:r>
            <w:r>
              <w:rPr>
                <w:rFonts w:hint="eastAsia"/>
              </w:rPr>
              <w:t>、</w:t>
            </w:r>
            <w:r>
              <w:t>专利分析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新药化学部</w:t>
            </w:r>
          </w:p>
        </w:tc>
        <w:tc>
          <w:tcPr>
            <w:tcW w:w="2690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活性、新颖性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G2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优选化合物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优选</w:t>
            </w:r>
            <w:r>
              <w:t>化合物</w:t>
            </w:r>
            <w:r>
              <w:rPr>
                <w:rFonts w:hint="eastAsia"/>
              </w:rPr>
              <w:t>、</w:t>
            </w:r>
            <w:r>
              <w:t>专利分析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新药化学部</w:t>
            </w:r>
          </w:p>
        </w:tc>
        <w:tc>
          <w:tcPr>
            <w:tcW w:w="2690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成药性、专利空间、开发可行性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G3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候选化合物提名 (PCC)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PCC提名报告（含详细的体内外药效、初步ADME、初步安全性、专利策略）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</w:t>
            </w:r>
            <w:r>
              <w:rPr>
                <w:rFonts w:hint="eastAsia"/>
              </w:rPr>
              <w:t>化学部</w:t>
            </w:r>
          </w:p>
        </w:tc>
        <w:tc>
          <w:tcPr>
            <w:tcW w:w="2690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安全性、数据完整性、CMC稳定性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G4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临床前开发完成 (GLP)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GLP毒理报告、药效总结报告、CMC</w:t>
            </w:r>
            <w:r>
              <w:rPr>
                <w:rFonts w:hint="eastAsia"/>
              </w:rPr>
              <w:t>初步</w:t>
            </w:r>
            <w:r>
              <w:t>总结报告</w:t>
            </w:r>
            <w:r>
              <w:rPr>
                <w:rFonts w:hint="eastAsia"/>
              </w:rPr>
              <w:t>、专利FTO报告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新药生物部</w:t>
            </w:r>
            <w:r>
              <w:t>/新药</w:t>
            </w:r>
            <w:r>
              <w:rPr>
                <w:rFonts w:hint="eastAsia"/>
              </w:rPr>
              <w:t>化学部</w:t>
            </w:r>
          </w:p>
        </w:tc>
        <w:tc>
          <w:tcPr>
            <w:tcW w:w="2690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法规符合性、临床方案设计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G5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临床试验申请获批 (IND)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IND申报资料、受理通知书、临床试验批件/默示许可文件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bookmarkStart w:id="2" w:name="OLE_LINK1"/>
            <w:bookmarkStart w:id="3" w:name="OLE_LINK2"/>
            <w:r>
              <w:t>药政合规部</w:t>
            </w:r>
            <w:bookmarkEnd w:id="2"/>
            <w:bookmarkEnd w:id="3"/>
          </w:p>
        </w:tc>
        <w:tc>
          <w:tcPr>
            <w:tcW w:w="2690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PK特征、安全性与耐受性、Ⅱ期设计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G6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</w:t>
            </w:r>
            <w:r>
              <w:rPr>
                <w:rFonts w:hint="eastAsia"/>
              </w:rPr>
              <w:sym w:font="Symbol" w:char="F049"/>
            </w:r>
            <w:r>
              <w:t>期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</w:t>
            </w:r>
            <w:r>
              <w:rPr>
                <w:rFonts w:hint="eastAsia"/>
              </w:rPr>
              <w:sym w:font="Symbol" w:char="F049"/>
            </w:r>
            <w:r>
              <w:t>期总结报告、</w:t>
            </w:r>
            <w:r>
              <w:rPr>
                <w:rFonts w:hint="eastAsia"/>
              </w:rPr>
              <w:sym w:font="Symbol" w:char="F049"/>
            </w:r>
            <w:r>
              <w:t>期临床试验方案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新药临床部部</w:t>
            </w:r>
          </w:p>
        </w:tc>
        <w:tc>
          <w:tcPr>
            <w:tcW w:w="2690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疗效信号、风险获益比、Ⅲ期方案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G7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</w:t>
            </w:r>
            <w:r>
              <w:rPr>
                <w:rFonts w:hint="eastAsia"/>
              </w:rPr>
              <w:sym w:font="Symbol" w:char="F049"/>
            </w:r>
            <w:r>
              <w:rPr>
                <w:rFonts w:hint="eastAsia"/>
              </w:rPr>
              <w:sym w:font="Symbol" w:char="F049"/>
            </w:r>
            <w:r>
              <w:t>期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</w:t>
            </w:r>
            <w:r>
              <w:rPr>
                <w:rFonts w:hint="eastAsia"/>
              </w:rPr>
              <w:sym w:font="Symbol" w:char="F049"/>
            </w:r>
            <w:r>
              <w:rPr>
                <w:rFonts w:hint="eastAsia"/>
              </w:rPr>
              <w:sym w:font="Symbol" w:char="F049"/>
            </w:r>
            <w:r>
              <w:t>期总结报告、</w:t>
            </w:r>
            <w:r>
              <w:rPr>
                <w:rFonts w:hint="eastAsia"/>
              </w:rPr>
              <w:sym w:font="Symbol" w:char="F049"/>
            </w:r>
            <w:r>
              <w:rPr>
                <w:rFonts w:hint="eastAsia"/>
              </w:rPr>
              <w:sym w:font="Symbol" w:char="F049"/>
            </w:r>
            <w:r>
              <w:t>期临床试验方案、关键注册策略确认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新药临床部</w:t>
            </w:r>
          </w:p>
        </w:tc>
        <w:tc>
          <w:tcPr>
            <w:tcW w:w="2690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疗效确证、安全性数据库、数据质量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G8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</w:t>
            </w:r>
            <w:r>
              <w:rPr>
                <w:rFonts w:hint="eastAsia" w:ascii="微软雅黑" w:hAnsi="微软雅黑" w:eastAsia="微软雅黑" w:cs="微软雅黑"/>
              </w:rPr>
              <w:sym w:font="Symbol" w:char="F049"/>
            </w:r>
            <w:r>
              <w:rPr>
                <w:rFonts w:hint="eastAsia" w:ascii="微软雅黑" w:hAnsi="微软雅黑" w:eastAsia="微软雅黑" w:cs="微软雅黑"/>
              </w:rPr>
              <w:sym w:font="Symbol" w:char="F049"/>
            </w:r>
            <w:r>
              <w:rPr>
                <w:rFonts w:hint="eastAsia" w:ascii="微软雅黑" w:hAnsi="微软雅黑" w:eastAsia="微软雅黑" w:cs="微软雅黑"/>
              </w:rPr>
              <w:sym w:font="Symbol" w:char="F049"/>
            </w:r>
            <w:r>
              <w:t>期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临床</w:t>
            </w:r>
            <w:r>
              <w:rPr>
                <w:rFonts w:hint="eastAsia"/>
              </w:rPr>
              <w:sym w:font="Symbol" w:char="F049"/>
            </w:r>
            <w:r>
              <w:rPr>
                <w:rFonts w:hint="eastAsia"/>
              </w:rPr>
              <w:sym w:font="Symbol" w:char="F049"/>
            </w:r>
            <w:r>
              <w:rPr>
                <w:rFonts w:hint="eastAsia"/>
              </w:rPr>
              <w:sym w:font="Symbol" w:char="F049"/>
            </w:r>
            <w:r>
              <w:t>期临床研究报告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新药临床部</w:t>
            </w:r>
          </w:p>
        </w:tc>
        <w:tc>
          <w:tcPr>
            <w:tcW w:w="2690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上市后承诺、商业化准备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G9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新药上市申请获批</w:t>
            </w:r>
            <w:r>
              <w:t xml:space="preserve"> (NDA)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NDA申报资料、受理通知书、药品注册证书</w:t>
            </w:r>
          </w:p>
        </w:tc>
        <w:tc>
          <w:tcPr>
            <w:tcW w:w="0" w:type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药政合规部</w:t>
            </w:r>
          </w:p>
        </w:tc>
        <w:tc>
          <w:tcPr>
            <w:tcW w:w="2690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/>
        </w:tc>
      </w:tr>
    </w:tbl>
    <w:p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/>
    <w:p/>
    <w:p/>
    <w:p/>
    <w:p/>
    <w:p/>
    <w:p/>
    <w:p/>
    <w:p/>
    <w:p/>
    <w:p/>
    <w:p/>
    <w:p/>
    <w:p/>
    <w:p>
      <w:r>
        <w:t>附件</w:t>
      </w:r>
      <w:r>
        <w:rPr>
          <w:rFonts w:hint="eastAsia"/>
        </w:rPr>
        <w:t>四</w:t>
      </w:r>
      <w:r>
        <w:t>：项目变更申请单</w:t>
      </w:r>
    </w:p>
    <w:tbl>
      <w:tblPr>
        <w:tblStyle w:val="11"/>
        <w:tblW w:w="13959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6"/>
        <w:gridCol w:w="4438"/>
        <w:gridCol w:w="2854"/>
        <w:gridCol w:w="4731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2" w:hRule="atLeast"/>
          <w:tblHeader/>
        </w:trPr>
        <w:tc>
          <w:tcPr>
            <w:tcW w:w="0" w:type="auto"/>
            <w:tcBorders>
              <w:top w:val="nil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项目名称</w:t>
            </w:r>
          </w:p>
        </w:tc>
        <w:tc>
          <w:tcPr>
            <w:tcW w:w="4438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[填写项目名称]</w:t>
            </w:r>
          </w:p>
        </w:tc>
        <w:tc>
          <w:tcPr>
            <w:tcW w:w="2854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申请日期</w:t>
            </w:r>
          </w:p>
        </w:tc>
        <w:tc>
          <w:tcPr>
            <w:tcW w:w="4731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2" w:hRule="atLeast"/>
        </w:trPr>
        <w:tc>
          <w:tcPr>
            <w:tcW w:w="0" w:type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项目经理</w:t>
            </w:r>
          </w:p>
        </w:tc>
        <w:tc>
          <w:tcPr>
            <w:tcW w:w="443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[姓名]</w:t>
            </w:r>
          </w:p>
        </w:tc>
        <w:tc>
          <w:tcPr>
            <w:tcW w:w="2854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变更编号</w:t>
            </w:r>
          </w:p>
        </w:tc>
        <w:tc>
          <w:tcPr>
            <w:tcW w:w="4731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EM-PM-CHG-XXX</w:t>
            </w:r>
          </w:p>
        </w:tc>
      </w:tr>
    </w:tbl>
    <w:p>
      <w:r>
        <w:t>1. 变更类型</w:t>
      </w:r>
    </w:p>
    <w:p/>
    <w:p>
      <w:r>
        <w:t>项目目标/范围变更</w:t>
      </w:r>
    </w:p>
    <w:p/>
    <w:p/>
    <w:p>
      <w:r>
        <w:t>关键里程碑时间调整</w:t>
      </w:r>
    </w:p>
    <w:p/>
    <w:p/>
    <w:p>
      <w:r>
        <w:t>预算变更</w:t>
      </w:r>
    </w:p>
    <w:p/>
    <w:p/>
    <w:p>
      <w:r>
        <w:t>项目负责人变更</w:t>
      </w:r>
    </w:p>
    <w:p/>
    <w:p/>
    <w:p>
      <w:r>
        <w:t>项目暂停/终止</w:t>
      </w:r>
    </w:p>
    <w:p/>
    <w:p/>
    <w:p>
      <w:r>
        <w:t>其他</w:t>
      </w:r>
    </w:p>
    <w:p/>
    <w:p>
      <w:r>
        <w:t>2. 变更原因</w:t>
      </w:r>
      <w:r>
        <w:br w:type="textWrapping"/>
      </w:r>
      <w:r>
        <w:t>[详细说明导致变更的背景、原因及必要性]</w:t>
      </w:r>
    </w:p>
    <w:p>
      <w:r>
        <w:t>3. 变更内容</w:t>
      </w:r>
    </w:p>
    <w:p/>
    <w:p>
      <w:r>
        <w:t>变更前： [描述原计划/状态]</w:t>
      </w:r>
    </w:p>
    <w:p/>
    <w:p>
      <w:r>
        <w:t>变更后： [描述变更后的计划/状态]</w:t>
      </w:r>
    </w:p>
    <w:p/>
    <w:p>
      <w:r>
        <w:t>影响分析：</w:t>
      </w:r>
    </w:p>
    <w:p/>
    <w:p>
      <w:r>
        <w:t>对里程碑的影响： [说明对后续里程碑的影响]</w:t>
      </w:r>
    </w:p>
    <w:p/>
    <w:p>
      <w:r>
        <w:t>对预算的影响： [说明费用增减情况]</w:t>
      </w:r>
    </w:p>
    <w:p/>
    <w:p>
      <w:r>
        <w:t>对资源的影响： [说明人力/外部资源需求变化]</w:t>
      </w:r>
    </w:p>
    <w:p/>
    <w:p>
      <w:r>
        <w:t>4. PMC</w:t>
      </w:r>
      <w:r>
        <w:rPr>
          <w:rFonts w:hint="eastAsia"/>
        </w:rPr>
        <w:t>确认签字</w:t>
      </w:r>
    </w:p>
    <w:p>
      <w:r>
        <w:rPr>
          <w:rFonts w:hint="eastAsia" w:asciiTheme="minorEastAsia" w:hAnsiTheme="minorEastAsia"/>
        </w:rPr>
        <w:t>□</w:t>
      </w:r>
      <w:r>
        <w:t>批准</w:t>
      </w:r>
    </w:p>
    <w:p>
      <w:r>
        <w:rPr>
          <w:rFonts w:hint="eastAsia" w:asciiTheme="minorEastAsia" w:hAnsiTheme="minorEastAsia"/>
        </w:rPr>
        <w:t>□</w:t>
      </w:r>
      <w:r>
        <w:t>拒绝</w:t>
      </w:r>
    </w:p>
    <w:p>
      <w:r>
        <w:rPr>
          <w:rFonts w:hint="eastAsia" w:ascii="宋体" w:hAnsi="宋体" w:eastAsia="宋体"/>
        </w:rPr>
        <w:t>□</w:t>
      </w:r>
      <w:r>
        <w:t>有条件批准（请说明条件）</w:t>
      </w:r>
    </w:p>
    <w:p/>
    <w:p>
      <w:r>
        <w:t>审批人签名： ____________ 日期： ____________</w:t>
      </w:r>
    </w:p>
    <w:p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/>
    <w:p/>
    <w:p>
      <w:r>
        <w:t>附件</w:t>
      </w:r>
      <w:r>
        <w:rPr>
          <w:rFonts w:hint="eastAsia"/>
        </w:rPr>
        <w:t>五</w:t>
      </w:r>
      <w:r>
        <w:t>：项目结项报告模板</w:t>
      </w:r>
    </w:p>
    <w:tbl>
      <w:tblPr>
        <w:tblStyle w:val="11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0"/>
        <w:gridCol w:w="4868"/>
        <w:gridCol w:w="2668"/>
        <w:gridCol w:w="4143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8" w:hRule="atLeast"/>
          <w:tblHeader/>
        </w:trPr>
        <w:tc>
          <w:tcPr>
            <w:tcW w:w="2120" w:type="dxa"/>
            <w:tcBorders>
              <w:top w:val="nil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r>
              <w:t>项目名称</w:t>
            </w:r>
          </w:p>
        </w:tc>
        <w:tc>
          <w:tcPr>
            <w:tcW w:w="4868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[填写项目名称]</w:t>
            </w:r>
          </w:p>
        </w:tc>
        <w:tc>
          <w:tcPr>
            <w:tcW w:w="2668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结项日期</w:t>
            </w:r>
          </w:p>
        </w:tc>
        <w:tc>
          <w:tcPr>
            <w:tcW w:w="4143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7" w:hRule="atLeast"/>
        </w:trPr>
        <w:tc>
          <w:tcPr>
            <w:tcW w:w="2120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r>
              <w:t>项目分级</w:t>
            </w:r>
          </w:p>
        </w:tc>
        <w:tc>
          <w:tcPr>
            <w:tcW w:w="486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rPr>
                <w:lang w:val="pt-PT"/>
              </w:rPr>
            </w:pPr>
            <w:r>
              <w:rPr>
                <w:lang w:val="pt-PT"/>
              </w:rPr>
              <w:t>[H-L / G-L /</w:t>
            </w:r>
            <w:r>
              <w:rPr>
                <w:rFonts w:hint="eastAsia"/>
                <w:lang w:val="pt-PT"/>
              </w:rPr>
              <w:t xml:space="preserve"> H-Q</w:t>
            </w:r>
            <w:r>
              <w:rPr>
                <w:lang w:val="pt-PT"/>
              </w:rPr>
              <w:t xml:space="preserve"> / </w:t>
            </w:r>
            <w:r>
              <w:rPr>
                <w:rFonts w:hint="eastAsia"/>
                <w:lang w:val="pt-PT"/>
              </w:rPr>
              <w:t>G-Q</w:t>
            </w:r>
            <w:r>
              <w:rPr>
                <w:lang w:val="pt-PT"/>
              </w:rPr>
              <w:t xml:space="preserve"> / </w:t>
            </w:r>
            <w:r>
              <w:rPr>
                <w:rFonts w:hint="eastAsia"/>
                <w:lang w:val="pt-PT"/>
              </w:rPr>
              <w:t>G-T</w:t>
            </w:r>
            <w:r>
              <w:rPr>
                <w:lang w:val="pt-PT"/>
              </w:rPr>
              <w:t xml:space="preserve"> / </w:t>
            </w:r>
            <w:r>
              <w:rPr>
                <w:rFonts w:hint="eastAsia"/>
                <w:lang w:val="pt-PT"/>
              </w:rPr>
              <w:t>C-L</w:t>
            </w:r>
            <w:r>
              <w:rPr>
                <w:lang w:val="pt-PT"/>
              </w:rPr>
              <w:t xml:space="preserve"> </w:t>
            </w:r>
            <w:r>
              <w:rPr>
                <w:rFonts w:hint="eastAsia"/>
                <w:lang w:val="pt-PT"/>
              </w:rPr>
              <w:t>/</w:t>
            </w:r>
            <w:r>
              <w:rPr>
                <w:lang w:val="pt-PT"/>
              </w:rPr>
              <w:t xml:space="preserve"> C-Q]</w:t>
            </w:r>
          </w:p>
        </w:tc>
        <w:tc>
          <w:tcPr>
            <w:tcW w:w="2668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最终状态</w:t>
            </w:r>
          </w:p>
        </w:tc>
        <w:tc>
          <w:tcPr>
            <w:tcW w:w="4143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 xml:space="preserve">□ 成功上市 </w:t>
            </w:r>
          </w:p>
          <w:p>
            <w:r>
              <w:t>□ 成功转让 □ 终止</w:t>
            </w:r>
          </w:p>
        </w:tc>
      </w:tr>
    </w:tbl>
    <w:p>
      <w:r>
        <w:t>1. 项目概述</w:t>
      </w:r>
    </w:p>
    <w:p/>
    <w:p>
      <w:r>
        <w:t>靶点/适应症： [简述]</w:t>
      </w:r>
    </w:p>
    <w:p/>
    <w:p/>
    <w:p>
      <w:r>
        <w:t>项目起止时间： YYYY-MM-DD 至 YYYY-MM-DD</w:t>
      </w:r>
    </w:p>
    <w:p/>
    <w:p/>
    <w:p>
      <w:r>
        <w:t>项目经理： [姓名]</w:t>
      </w:r>
    </w:p>
    <w:p/>
    <w:p>
      <w:r>
        <w:t>2. 关键里程碑达成情况</w:t>
      </w:r>
    </w:p>
    <w:tbl>
      <w:tblPr>
        <w:tblStyle w:val="11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46"/>
        <w:gridCol w:w="2431"/>
        <w:gridCol w:w="2292"/>
        <w:gridCol w:w="1780"/>
        <w:gridCol w:w="4408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6" w:hRule="atLeast"/>
        </w:trPr>
        <w:tc>
          <w:tcPr>
            <w:tcW w:w="2946" w:type="dxa"/>
            <w:tcBorders>
              <w:top w:val="nil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r>
              <w:t>里程碑</w:t>
            </w:r>
          </w:p>
        </w:tc>
        <w:tc>
          <w:tcPr>
            <w:tcW w:w="2431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计划完成日期</w:t>
            </w:r>
          </w:p>
        </w:tc>
        <w:tc>
          <w:tcPr>
            <w:tcW w:w="2292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实际完成日期</w:t>
            </w:r>
          </w:p>
        </w:tc>
        <w:tc>
          <w:tcPr>
            <w:tcW w:w="1780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偏差</w:t>
            </w:r>
          </w:p>
        </w:tc>
        <w:tc>
          <w:tcPr>
            <w:tcW w:w="4408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pPr>
              <w:jc w:val="center"/>
            </w:pPr>
            <w:r>
              <w:t>说明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</w:trPr>
        <w:tc>
          <w:tcPr>
            <w:tcW w:w="2946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r>
              <w:t>G0项目立项</w:t>
            </w:r>
          </w:p>
        </w:tc>
        <w:tc>
          <w:tcPr>
            <w:tcW w:w="2431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2292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178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[±X月]</w:t>
            </w:r>
          </w:p>
        </w:tc>
        <w:tc>
          <w:tcPr>
            <w:tcW w:w="440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/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</w:trPr>
        <w:tc>
          <w:tcPr>
            <w:tcW w:w="2946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r>
              <w:t>G1先导化合物确认</w:t>
            </w:r>
          </w:p>
        </w:tc>
        <w:tc>
          <w:tcPr>
            <w:tcW w:w="2431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2292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178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[±X月]</w:t>
            </w:r>
          </w:p>
        </w:tc>
        <w:tc>
          <w:tcPr>
            <w:tcW w:w="440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/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</w:trPr>
        <w:tc>
          <w:tcPr>
            <w:tcW w:w="2946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r>
              <w:t>G2</w:t>
            </w:r>
            <w:r>
              <w:rPr>
                <w:rFonts w:hint="eastAsia"/>
              </w:rPr>
              <w:t>优选化合物</w:t>
            </w:r>
          </w:p>
        </w:tc>
        <w:tc>
          <w:tcPr>
            <w:tcW w:w="2431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2292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178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[±X月]</w:t>
            </w:r>
          </w:p>
        </w:tc>
        <w:tc>
          <w:tcPr>
            <w:tcW w:w="440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/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</w:trPr>
        <w:tc>
          <w:tcPr>
            <w:tcW w:w="2946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G3</w:t>
            </w:r>
            <w:r>
              <w:t>候选化合物提名 (PCC)</w:t>
            </w:r>
          </w:p>
        </w:tc>
        <w:tc>
          <w:tcPr>
            <w:tcW w:w="2431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...</w:t>
            </w:r>
          </w:p>
        </w:tc>
        <w:tc>
          <w:tcPr>
            <w:tcW w:w="2292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...</w:t>
            </w:r>
          </w:p>
        </w:tc>
        <w:tc>
          <w:tcPr>
            <w:tcW w:w="178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...</w:t>
            </w:r>
          </w:p>
        </w:tc>
        <w:tc>
          <w:tcPr>
            <w:tcW w:w="440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>
            <w:r>
              <w:t>...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</w:trPr>
        <w:tc>
          <w:tcPr>
            <w:tcW w:w="2946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r>
              <w:t>G4临床前开发完成 (GLP)</w:t>
            </w:r>
          </w:p>
        </w:tc>
        <w:tc>
          <w:tcPr>
            <w:tcW w:w="2431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2292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YYYY-MM-DD</w:t>
            </w:r>
          </w:p>
        </w:tc>
        <w:tc>
          <w:tcPr>
            <w:tcW w:w="178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[±X月]</w:t>
            </w:r>
          </w:p>
        </w:tc>
        <w:tc>
          <w:tcPr>
            <w:tcW w:w="440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/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</w:trPr>
        <w:tc>
          <w:tcPr>
            <w:tcW w:w="2946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G5</w:t>
            </w:r>
            <w:r>
              <w:t>临床试验申请获批 (IND)</w:t>
            </w:r>
          </w:p>
        </w:tc>
        <w:tc>
          <w:tcPr>
            <w:tcW w:w="2431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2292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178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440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/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</w:trPr>
        <w:tc>
          <w:tcPr>
            <w:tcW w:w="2946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G6</w:t>
            </w:r>
            <w:r>
              <w:t>临床</w:t>
            </w:r>
            <w:r>
              <w:rPr>
                <w:rFonts w:hint="eastAsia"/>
              </w:rPr>
              <w:sym w:font="Symbol" w:char="F049"/>
            </w:r>
            <w:r>
              <w:t>期</w:t>
            </w:r>
          </w:p>
        </w:tc>
        <w:tc>
          <w:tcPr>
            <w:tcW w:w="2431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2292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178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440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/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</w:trPr>
        <w:tc>
          <w:tcPr>
            <w:tcW w:w="2946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G7</w:t>
            </w:r>
            <w:r>
              <w:t>临床</w:t>
            </w:r>
            <w:r>
              <w:rPr>
                <w:rFonts w:hint="eastAsia"/>
              </w:rPr>
              <w:sym w:font="Symbol" w:char="F049"/>
            </w:r>
            <w:r>
              <w:rPr>
                <w:rFonts w:hint="eastAsia"/>
              </w:rPr>
              <w:sym w:font="Symbol" w:char="F049"/>
            </w:r>
            <w:r>
              <w:t>期</w:t>
            </w:r>
          </w:p>
        </w:tc>
        <w:tc>
          <w:tcPr>
            <w:tcW w:w="2431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2292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178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440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/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</w:trPr>
        <w:tc>
          <w:tcPr>
            <w:tcW w:w="2946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G8</w:t>
            </w:r>
            <w:r>
              <w:t>临床</w:t>
            </w:r>
            <w:r>
              <w:rPr>
                <w:rFonts w:hint="eastAsia" w:ascii="微软雅黑" w:hAnsi="微软雅黑" w:eastAsia="微软雅黑" w:cs="微软雅黑"/>
              </w:rPr>
              <w:sym w:font="Symbol" w:char="F049"/>
            </w:r>
            <w:r>
              <w:rPr>
                <w:rFonts w:hint="eastAsia" w:ascii="微软雅黑" w:hAnsi="微软雅黑" w:eastAsia="微软雅黑" w:cs="微软雅黑"/>
              </w:rPr>
              <w:sym w:font="Symbol" w:char="F049"/>
            </w:r>
            <w:r>
              <w:rPr>
                <w:rFonts w:hint="eastAsia" w:ascii="微软雅黑" w:hAnsi="微软雅黑" w:eastAsia="微软雅黑" w:cs="微软雅黑"/>
              </w:rPr>
              <w:sym w:font="Symbol" w:char="F049"/>
            </w:r>
            <w:r>
              <w:t>期</w:t>
            </w:r>
          </w:p>
        </w:tc>
        <w:tc>
          <w:tcPr>
            <w:tcW w:w="2431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2292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178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440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/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4" w:hRule="atLeast"/>
        </w:trPr>
        <w:tc>
          <w:tcPr>
            <w:tcW w:w="2946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r>
              <w:rPr>
                <w:rFonts w:hint="eastAsia"/>
              </w:rPr>
              <w:t>G9</w:t>
            </w:r>
            <w:bookmarkStart w:id="4" w:name="OLE_LINK8"/>
            <w:bookmarkStart w:id="5" w:name="OLE_LINK7"/>
            <w:r>
              <w:t>新药上市申请获批 (NDA)</w:t>
            </w:r>
            <w:bookmarkEnd w:id="4"/>
            <w:bookmarkEnd w:id="5"/>
          </w:p>
        </w:tc>
        <w:tc>
          <w:tcPr>
            <w:tcW w:w="2431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2292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1780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4408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/>
        </w:tc>
      </w:tr>
    </w:tbl>
    <w:p>
      <w:r>
        <w:t>3. 预算执行总结</w:t>
      </w:r>
    </w:p>
    <w:tbl>
      <w:tblPr>
        <w:tblStyle w:val="11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5"/>
        <w:gridCol w:w="3556"/>
        <w:gridCol w:w="3557"/>
        <w:gridCol w:w="2434"/>
        <w:gridCol w:w="2925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7" w:hRule="atLeast"/>
          <w:tblHeader/>
        </w:trPr>
        <w:tc>
          <w:tcPr>
            <w:tcW w:w="1425" w:type="dxa"/>
            <w:tcBorders>
              <w:top w:val="nil"/>
            </w:tcBorders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>
            <w:r>
              <w:t>项目</w:t>
            </w:r>
          </w:p>
        </w:tc>
        <w:tc>
          <w:tcPr>
            <w:tcW w:w="3556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批准预算（万元）</w:t>
            </w:r>
          </w:p>
        </w:tc>
        <w:tc>
          <w:tcPr>
            <w:tcW w:w="3557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实际支出（万元）</w:t>
            </w:r>
          </w:p>
        </w:tc>
        <w:tc>
          <w:tcPr>
            <w:tcW w:w="2434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偏差（%）</w:t>
            </w:r>
          </w:p>
        </w:tc>
        <w:tc>
          <w:tcPr>
            <w:tcW w:w="2925" w:type="dxa"/>
            <w:tcBorders>
              <w:top w:val="nil"/>
            </w:tcBorders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主要差异原因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8" w:hRule="atLeast"/>
        </w:trPr>
        <w:tc>
          <w:tcPr>
            <w:tcW w:w="1425" w:type="dxa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/>
        </w:tc>
        <w:tc>
          <w:tcPr>
            <w:tcW w:w="3556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[金额]</w:t>
            </w:r>
          </w:p>
        </w:tc>
        <w:tc>
          <w:tcPr>
            <w:tcW w:w="3557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[金额]</w:t>
            </w:r>
          </w:p>
        </w:tc>
        <w:tc>
          <w:tcPr>
            <w:tcW w:w="2434" w:type="dxa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>
            <w:r>
              <w:t>[%]</w:t>
            </w:r>
          </w:p>
        </w:tc>
        <w:tc>
          <w:tcPr>
            <w:tcW w:w="2925" w:type="dxa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/>
        </w:tc>
      </w:tr>
    </w:tbl>
    <w:p>
      <w:r>
        <w:t>4. 项目成果与产出</w:t>
      </w:r>
    </w:p>
    <w:p/>
    <w:p>
      <w:r>
        <w:t>科学成果： [如：发现新机制、发表论文、形成专利]</w:t>
      </w:r>
    </w:p>
    <w:p/>
    <w:p/>
    <w:p>
      <w:r>
        <w:t>注册成果： [如：获得IND批件、NDA证书、孤儿药资格认定]</w:t>
      </w:r>
    </w:p>
    <w:p/>
    <w:p/>
    <w:p>
      <w:r>
        <w:t>商业成果： [如：成功转让、里程碑付款收入]</w:t>
      </w:r>
    </w:p>
    <w:p/>
    <w:p>
      <w:r>
        <w:t>5. 总结</w:t>
      </w:r>
    </w:p>
    <w:p/>
    <w:p>
      <w:r>
        <w:t>成功经验： [可复用的管理或技术经验]</w:t>
      </w:r>
    </w:p>
    <w:p/>
    <w:p/>
    <w:p>
      <w:r>
        <w:t>改进方向： [项目过程中遇到的问题及未来改进建议]</w:t>
      </w:r>
    </w:p>
    <w:p/>
    <w:p>
      <w:r>
        <w:t>6. 文档归档确认</w:t>
      </w:r>
      <w:r>
        <w:br w:type="textWrapping"/>
      </w:r>
      <w:r>
        <w:t>所有项目文件（实验记录、报告、合同、申报资料）均已按《研发文档管理制度》完成归档。</w:t>
      </w:r>
      <w:r>
        <w:br w:type="textWrapping"/>
      </w:r>
      <w:r>
        <w:t>归档确认人： ____________</w:t>
      </w:r>
    </w:p>
    <w:p>
      <w:r>
        <w:t>7. 项目结项审批</w:t>
      </w:r>
    </w:p>
    <w:p/>
    <w:p>
      <w:r>
        <w:t>PMC审批意见：</w:t>
      </w:r>
      <w:r>
        <w:br w:type="textWrapping"/>
      </w:r>
      <w:r>
        <w:rPr>
          <w:rFonts w:hint="eastAsia" w:asciiTheme="minorEastAsia" w:hAnsiTheme="minorEastAsia"/>
        </w:rPr>
        <w:t>□</w:t>
      </w:r>
      <w:r>
        <w:t>同意结项</w:t>
      </w:r>
      <w:r>
        <w:br w:type="textWrapping"/>
      </w:r>
      <w:r>
        <w:rPr>
          <w:rFonts w:hint="eastAsia" w:asciiTheme="minorEastAsia" w:hAnsiTheme="minorEastAsia"/>
        </w:rPr>
        <w:t>□</w:t>
      </w:r>
      <w:r>
        <w:t>补充资料后结项</w:t>
      </w:r>
    </w:p>
    <w:p/>
    <w:p>
      <w:r>
        <w:t>审批人签名： ____________ 日期： ____________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EB68DF"/>
    <w:multiLevelType w:val="multilevel"/>
    <w:tmpl w:val="28EB68DF"/>
    <w:lvl w:ilvl="0" w:tentative="0">
      <w:start w:val="1"/>
      <w:numFmt w:val="decimal"/>
      <w:pStyle w:val="17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pStyle w:val="18"/>
      <w:isLgl/>
      <w:suff w:val="space"/>
      <w:lvlText w:val="%1.%2"/>
      <w:lvlJc w:val="left"/>
      <w:pPr>
        <w:ind w:left="709" w:firstLine="0"/>
      </w:pPr>
      <w:rPr>
        <w:rFonts w:hint="default"/>
      </w:rPr>
    </w:lvl>
    <w:lvl w:ilvl="2" w:tentative="0">
      <w:start w:val="1"/>
      <w:numFmt w:val="decimal"/>
      <w:pStyle w:val="19"/>
      <w:isLgl/>
      <w:suff w:val="space"/>
      <w:lvlText w:val="%1.%2.%3"/>
      <w:lvlJc w:val="left"/>
      <w:pPr>
        <w:ind w:left="709" w:firstLine="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869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3709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4189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5029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5509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6349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87770DC7"/>
    <w:rsid w:val="0000205D"/>
    <w:rsid w:val="000024DA"/>
    <w:rsid w:val="000034F3"/>
    <w:rsid w:val="000116E3"/>
    <w:rsid w:val="0001267E"/>
    <w:rsid w:val="00013239"/>
    <w:rsid w:val="00024354"/>
    <w:rsid w:val="00044E94"/>
    <w:rsid w:val="0004588F"/>
    <w:rsid w:val="00046194"/>
    <w:rsid w:val="0005145A"/>
    <w:rsid w:val="00051882"/>
    <w:rsid w:val="00062813"/>
    <w:rsid w:val="00064162"/>
    <w:rsid w:val="000710C5"/>
    <w:rsid w:val="000766FD"/>
    <w:rsid w:val="000777AB"/>
    <w:rsid w:val="0007793F"/>
    <w:rsid w:val="000907CC"/>
    <w:rsid w:val="000A089B"/>
    <w:rsid w:val="000A4CD1"/>
    <w:rsid w:val="000B1430"/>
    <w:rsid w:val="000B187E"/>
    <w:rsid w:val="000B5BB2"/>
    <w:rsid w:val="000C0376"/>
    <w:rsid w:val="000C4CF4"/>
    <w:rsid w:val="000C781A"/>
    <w:rsid w:val="000D10C0"/>
    <w:rsid w:val="000D2605"/>
    <w:rsid w:val="000D649C"/>
    <w:rsid w:val="000E42EE"/>
    <w:rsid w:val="000E6C0E"/>
    <w:rsid w:val="000F08B9"/>
    <w:rsid w:val="000F23F9"/>
    <w:rsid w:val="000F6048"/>
    <w:rsid w:val="00112853"/>
    <w:rsid w:val="001142BF"/>
    <w:rsid w:val="00122812"/>
    <w:rsid w:val="00124921"/>
    <w:rsid w:val="001276AE"/>
    <w:rsid w:val="00131C86"/>
    <w:rsid w:val="001369B6"/>
    <w:rsid w:val="00141DCC"/>
    <w:rsid w:val="00145B91"/>
    <w:rsid w:val="001525BB"/>
    <w:rsid w:val="00156860"/>
    <w:rsid w:val="00157604"/>
    <w:rsid w:val="00160093"/>
    <w:rsid w:val="00162233"/>
    <w:rsid w:val="00162FDF"/>
    <w:rsid w:val="00163EFD"/>
    <w:rsid w:val="001663F6"/>
    <w:rsid w:val="00170ED2"/>
    <w:rsid w:val="001716A2"/>
    <w:rsid w:val="0017213B"/>
    <w:rsid w:val="00172EC2"/>
    <w:rsid w:val="001737D8"/>
    <w:rsid w:val="00173A1C"/>
    <w:rsid w:val="001756D9"/>
    <w:rsid w:val="001831EC"/>
    <w:rsid w:val="00183288"/>
    <w:rsid w:val="0018464A"/>
    <w:rsid w:val="001857FC"/>
    <w:rsid w:val="00191142"/>
    <w:rsid w:val="00193664"/>
    <w:rsid w:val="001A34F3"/>
    <w:rsid w:val="001B48A7"/>
    <w:rsid w:val="001B582E"/>
    <w:rsid w:val="001B6BC2"/>
    <w:rsid w:val="001B7E86"/>
    <w:rsid w:val="001C0D9F"/>
    <w:rsid w:val="001C6E0B"/>
    <w:rsid w:val="001D55BA"/>
    <w:rsid w:val="001D6096"/>
    <w:rsid w:val="001D7114"/>
    <w:rsid w:val="001E3488"/>
    <w:rsid w:val="001F2F8A"/>
    <w:rsid w:val="001F3063"/>
    <w:rsid w:val="001F5BAC"/>
    <w:rsid w:val="00200649"/>
    <w:rsid w:val="0020247D"/>
    <w:rsid w:val="002027AA"/>
    <w:rsid w:val="002067AD"/>
    <w:rsid w:val="00206BF9"/>
    <w:rsid w:val="00207B98"/>
    <w:rsid w:val="00212B50"/>
    <w:rsid w:val="00223479"/>
    <w:rsid w:val="00226BAE"/>
    <w:rsid w:val="00230B9E"/>
    <w:rsid w:val="002368B6"/>
    <w:rsid w:val="00240945"/>
    <w:rsid w:val="002415F1"/>
    <w:rsid w:val="0025389C"/>
    <w:rsid w:val="00255A3B"/>
    <w:rsid w:val="0027285E"/>
    <w:rsid w:val="00282644"/>
    <w:rsid w:val="0029453E"/>
    <w:rsid w:val="002A0417"/>
    <w:rsid w:val="002A0DE6"/>
    <w:rsid w:val="002A4BDC"/>
    <w:rsid w:val="002A5F54"/>
    <w:rsid w:val="002B22E5"/>
    <w:rsid w:val="002B2B3B"/>
    <w:rsid w:val="002B4158"/>
    <w:rsid w:val="002B6033"/>
    <w:rsid w:val="002B7B28"/>
    <w:rsid w:val="002B7D93"/>
    <w:rsid w:val="002C7B48"/>
    <w:rsid w:val="002D05AC"/>
    <w:rsid w:val="002D5E75"/>
    <w:rsid w:val="002D7097"/>
    <w:rsid w:val="002E088D"/>
    <w:rsid w:val="002E31A7"/>
    <w:rsid w:val="002E5043"/>
    <w:rsid w:val="002F01B7"/>
    <w:rsid w:val="002F102A"/>
    <w:rsid w:val="002F3A53"/>
    <w:rsid w:val="00301A93"/>
    <w:rsid w:val="00301D48"/>
    <w:rsid w:val="0031108A"/>
    <w:rsid w:val="00317D50"/>
    <w:rsid w:val="00326CE3"/>
    <w:rsid w:val="0033023B"/>
    <w:rsid w:val="00331B25"/>
    <w:rsid w:val="0033460E"/>
    <w:rsid w:val="00335986"/>
    <w:rsid w:val="003372B7"/>
    <w:rsid w:val="003402CF"/>
    <w:rsid w:val="003453C5"/>
    <w:rsid w:val="003461F0"/>
    <w:rsid w:val="003469AA"/>
    <w:rsid w:val="00350501"/>
    <w:rsid w:val="00350F4C"/>
    <w:rsid w:val="00354A15"/>
    <w:rsid w:val="00355BA4"/>
    <w:rsid w:val="003613BC"/>
    <w:rsid w:val="003636FC"/>
    <w:rsid w:val="00371340"/>
    <w:rsid w:val="00372739"/>
    <w:rsid w:val="00377CEC"/>
    <w:rsid w:val="00380116"/>
    <w:rsid w:val="00380A54"/>
    <w:rsid w:val="00381ED4"/>
    <w:rsid w:val="00382203"/>
    <w:rsid w:val="00382883"/>
    <w:rsid w:val="00384882"/>
    <w:rsid w:val="003906FE"/>
    <w:rsid w:val="003955DB"/>
    <w:rsid w:val="00396E5A"/>
    <w:rsid w:val="003A4853"/>
    <w:rsid w:val="003A5B41"/>
    <w:rsid w:val="003B0475"/>
    <w:rsid w:val="003B1AD5"/>
    <w:rsid w:val="003B1BE8"/>
    <w:rsid w:val="003B1D8D"/>
    <w:rsid w:val="003B392A"/>
    <w:rsid w:val="003B5ED2"/>
    <w:rsid w:val="003B6625"/>
    <w:rsid w:val="003C002D"/>
    <w:rsid w:val="003C01F4"/>
    <w:rsid w:val="003C1F9A"/>
    <w:rsid w:val="003D2BC6"/>
    <w:rsid w:val="003E2D47"/>
    <w:rsid w:val="003E4DE2"/>
    <w:rsid w:val="003F7B81"/>
    <w:rsid w:val="00403DBB"/>
    <w:rsid w:val="00410890"/>
    <w:rsid w:val="00413806"/>
    <w:rsid w:val="00417A32"/>
    <w:rsid w:val="00427ABB"/>
    <w:rsid w:val="00435B63"/>
    <w:rsid w:val="00435BD5"/>
    <w:rsid w:val="0043688C"/>
    <w:rsid w:val="004433A9"/>
    <w:rsid w:val="00443E27"/>
    <w:rsid w:val="004578C7"/>
    <w:rsid w:val="0046005E"/>
    <w:rsid w:val="0046411C"/>
    <w:rsid w:val="00464D4D"/>
    <w:rsid w:val="004702FE"/>
    <w:rsid w:val="00471B9B"/>
    <w:rsid w:val="004766B2"/>
    <w:rsid w:val="004838ED"/>
    <w:rsid w:val="00485EDD"/>
    <w:rsid w:val="004867BD"/>
    <w:rsid w:val="00486AED"/>
    <w:rsid w:val="00496A65"/>
    <w:rsid w:val="004A3FE6"/>
    <w:rsid w:val="004A5020"/>
    <w:rsid w:val="004A7A71"/>
    <w:rsid w:val="004C4D61"/>
    <w:rsid w:val="004D713C"/>
    <w:rsid w:val="004E5CE1"/>
    <w:rsid w:val="004E5E96"/>
    <w:rsid w:val="004F0FBC"/>
    <w:rsid w:val="004F6BF9"/>
    <w:rsid w:val="00505FFE"/>
    <w:rsid w:val="00510553"/>
    <w:rsid w:val="005131C5"/>
    <w:rsid w:val="005201AA"/>
    <w:rsid w:val="00523150"/>
    <w:rsid w:val="005313FE"/>
    <w:rsid w:val="00533B9C"/>
    <w:rsid w:val="0053438B"/>
    <w:rsid w:val="00541422"/>
    <w:rsid w:val="00541A98"/>
    <w:rsid w:val="00543F14"/>
    <w:rsid w:val="00551561"/>
    <w:rsid w:val="00552EA3"/>
    <w:rsid w:val="00555779"/>
    <w:rsid w:val="005557D6"/>
    <w:rsid w:val="00560DE6"/>
    <w:rsid w:val="0056305E"/>
    <w:rsid w:val="00564804"/>
    <w:rsid w:val="005668BE"/>
    <w:rsid w:val="00575D84"/>
    <w:rsid w:val="00577275"/>
    <w:rsid w:val="005847BF"/>
    <w:rsid w:val="00585C84"/>
    <w:rsid w:val="005868A5"/>
    <w:rsid w:val="00587688"/>
    <w:rsid w:val="00591BA6"/>
    <w:rsid w:val="005948EA"/>
    <w:rsid w:val="005A0B46"/>
    <w:rsid w:val="005B0F3E"/>
    <w:rsid w:val="005B16F8"/>
    <w:rsid w:val="005B34BB"/>
    <w:rsid w:val="005B50E5"/>
    <w:rsid w:val="005B679D"/>
    <w:rsid w:val="005C5B33"/>
    <w:rsid w:val="005C7999"/>
    <w:rsid w:val="005E23B7"/>
    <w:rsid w:val="005E5605"/>
    <w:rsid w:val="005E572A"/>
    <w:rsid w:val="005F6010"/>
    <w:rsid w:val="00604631"/>
    <w:rsid w:val="00607B27"/>
    <w:rsid w:val="006274D7"/>
    <w:rsid w:val="006310BC"/>
    <w:rsid w:val="00634782"/>
    <w:rsid w:val="00634B6C"/>
    <w:rsid w:val="00635823"/>
    <w:rsid w:val="006460DF"/>
    <w:rsid w:val="00646D11"/>
    <w:rsid w:val="00652AE4"/>
    <w:rsid w:val="00652BA3"/>
    <w:rsid w:val="00654940"/>
    <w:rsid w:val="0067090E"/>
    <w:rsid w:val="00672700"/>
    <w:rsid w:val="006777CB"/>
    <w:rsid w:val="006849C5"/>
    <w:rsid w:val="006923EE"/>
    <w:rsid w:val="00692AA5"/>
    <w:rsid w:val="00693639"/>
    <w:rsid w:val="006948CF"/>
    <w:rsid w:val="0069599E"/>
    <w:rsid w:val="00696DA4"/>
    <w:rsid w:val="006A016F"/>
    <w:rsid w:val="006A123D"/>
    <w:rsid w:val="006A1273"/>
    <w:rsid w:val="006A1536"/>
    <w:rsid w:val="006A2848"/>
    <w:rsid w:val="006A3F86"/>
    <w:rsid w:val="006B112C"/>
    <w:rsid w:val="006B2D4E"/>
    <w:rsid w:val="006B2EA7"/>
    <w:rsid w:val="006B4102"/>
    <w:rsid w:val="006B4D9F"/>
    <w:rsid w:val="006B5260"/>
    <w:rsid w:val="006C1047"/>
    <w:rsid w:val="006C5E7B"/>
    <w:rsid w:val="006E0FE9"/>
    <w:rsid w:val="006E1F50"/>
    <w:rsid w:val="006E31FD"/>
    <w:rsid w:val="006F0E0F"/>
    <w:rsid w:val="006F13D1"/>
    <w:rsid w:val="006F2B67"/>
    <w:rsid w:val="006F7B70"/>
    <w:rsid w:val="00702645"/>
    <w:rsid w:val="00712EE8"/>
    <w:rsid w:val="00713B41"/>
    <w:rsid w:val="00713F83"/>
    <w:rsid w:val="00714BFD"/>
    <w:rsid w:val="00717A83"/>
    <w:rsid w:val="007345B7"/>
    <w:rsid w:val="0073762B"/>
    <w:rsid w:val="007402EC"/>
    <w:rsid w:val="00740573"/>
    <w:rsid w:val="00753925"/>
    <w:rsid w:val="00757826"/>
    <w:rsid w:val="007611DE"/>
    <w:rsid w:val="00762332"/>
    <w:rsid w:val="007630CC"/>
    <w:rsid w:val="00764633"/>
    <w:rsid w:val="00772BBA"/>
    <w:rsid w:val="00772D76"/>
    <w:rsid w:val="00775FC1"/>
    <w:rsid w:val="00780DE7"/>
    <w:rsid w:val="0078158A"/>
    <w:rsid w:val="007819D5"/>
    <w:rsid w:val="007828F8"/>
    <w:rsid w:val="00791597"/>
    <w:rsid w:val="007942A4"/>
    <w:rsid w:val="007A327C"/>
    <w:rsid w:val="007A3387"/>
    <w:rsid w:val="007B4F3C"/>
    <w:rsid w:val="007B7255"/>
    <w:rsid w:val="007C1131"/>
    <w:rsid w:val="007C3ACB"/>
    <w:rsid w:val="007C3D79"/>
    <w:rsid w:val="007C4643"/>
    <w:rsid w:val="007C526A"/>
    <w:rsid w:val="007C64E3"/>
    <w:rsid w:val="007C7413"/>
    <w:rsid w:val="007D27EB"/>
    <w:rsid w:val="007E3BE3"/>
    <w:rsid w:val="007E5FF3"/>
    <w:rsid w:val="007E6163"/>
    <w:rsid w:val="007E769E"/>
    <w:rsid w:val="007F20B6"/>
    <w:rsid w:val="007F339A"/>
    <w:rsid w:val="007F344C"/>
    <w:rsid w:val="008001E2"/>
    <w:rsid w:val="00800986"/>
    <w:rsid w:val="0080327B"/>
    <w:rsid w:val="00807F56"/>
    <w:rsid w:val="00810B1B"/>
    <w:rsid w:val="00811693"/>
    <w:rsid w:val="008146FF"/>
    <w:rsid w:val="00820A98"/>
    <w:rsid w:val="00821B28"/>
    <w:rsid w:val="0082529E"/>
    <w:rsid w:val="00831841"/>
    <w:rsid w:val="00834B7F"/>
    <w:rsid w:val="00836673"/>
    <w:rsid w:val="0083797A"/>
    <w:rsid w:val="00842CB2"/>
    <w:rsid w:val="00846073"/>
    <w:rsid w:val="008505D2"/>
    <w:rsid w:val="008521B7"/>
    <w:rsid w:val="008578D4"/>
    <w:rsid w:val="0086001F"/>
    <w:rsid w:val="00861740"/>
    <w:rsid w:val="0086534F"/>
    <w:rsid w:val="0086539E"/>
    <w:rsid w:val="00866334"/>
    <w:rsid w:val="00866FB8"/>
    <w:rsid w:val="00867774"/>
    <w:rsid w:val="00871074"/>
    <w:rsid w:val="00880D9F"/>
    <w:rsid w:val="00881470"/>
    <w:rsid w:val="00883AE9"/>
    <w:rsid w:val="00884A10"/>
    <w:rsid w:val="00885D5C"/>
    <w:rsid w:val="00886B65"/>
    <w:rsid w:val="008A592C"/>
    <w:rsid w:val="008A7139"/>
    <w:rsid w:val="008A7B25"/>
    <w:rsid w:val="008B6C90"/>
    <w:rsid w:val="008B77D1"/>
    <w:rsid w:val="008C200C"/>
    <w:rsid w:val="008C3997"/>
    <w:rsid w:val="008C4A28"/>
    <w:rsid w:val="008C5335"/>
    <w:rsid w:val="008C58B7"/>
    <w:rsid w:val="008C6062"/>
    <w:rsid w:val="008C708A"/>
    <w:rsid w:val="008D4B92"/>
    <w:rsid w:val="008D5433"/>
    <w:rsid w:val="008E16AA"/>
    <w:rsid w:val="008E3A18"/>
    <w:rsid w:val="008E3B18"/>
    <w:rsid w:val="008E454D"/>
    <w:rsid w:val="008E4693"/>
    <w:rsid w:val="008E4EF6"/>
    <w:rsid w:val="008F0A4B"/>
    <w:rsid w:val="008F49F1"/>
    <w:rsid w:val="008F6182"/>
    <w:rsid w:val="008F680F"/>
    <w:rsid w:val="008F6C1D"/>
    <w:rsid w:val="008F740F"/>
    <w:rsid w:val="009021B8"/>
    <w:rsid w:val="0090361F"/>
    <w:rsid w:val="009061C5"/>
    <w:rsid w:val="00911F33"/>
    <w:rsid w:val="00912EB9"/>
    <w:rsid w:val="00913639"/>
    <w:rsid w:val="009141F2"/>
    <w:rsid w:val="00915642"/>
    <w:rsid w:val="00915A1A"/>
    <w:rsid w:val="00920C4A"/>
    <w:rsid w:val="00920C94"/>
    <w:rsid w:val="0092155D"/>
    <w:rsid w:val="00922316"/>
    <w:rsid w:val="00924FD7"/>
    <w:rsid w:val="0093113C"/>
    <w:rsid w:val="009336E6"/>
    <w:rsid w:val="00947FED"/>
    <w:rsid w:val="009519C9"/>
    <w:rsid w:val="009549AD"/>
    <w:rsid w:val="00972A3F"/>
    <w:rsid w:val="00974B10"/>
    <w:rsid w:val="00976553"/>
    <w:rsid w:val="00982D52"/>
    <w:rsid w:val="00996FBE"/>
    <w:rsid w:val="009970FD"/>
    <w:rsid w:val="009A3EC7"/>
    <w:rsid w:val="009A5A09"/>
    <w:rsid w:val="009B1E40"/>
    <w:rsid w:val="009C48F3"/>
    <w:rsid w:val="009C62E4"/>
    <w:rsid w:val="009D2EB5"/>
    <w:rsid w:val="009D497D"/>
    <w:rsid w:val="009D4B28"/>
    <w:rsid w:val="009E0C57"/>
    <w:rsid w:val="009E1F09"/>
    <w:rsid w:val="009E379F"/>
    <w:rsid w:val="009E3F57"/>
    <w:rsid w:val="009E5A71"/>
    <w:rsid w:val="009F528A"/>
    <w:rsid w:val="00A01985"/>
    <w:rsid w:val="00A07218"/>
    <w:rsid w:val="00A079C5"/>
    <w:rsid w:val="00A11E7E"/>
    <w:rsid w:val="00A134B5"/>
    <w:rsid w:val="00A15916"/>
    <w:rsid w:val="00A208D1"/>
    <w:rsid w:val="00A20B42"/>
    <w:rsid w:val="00A222D8"/>
    <w:rsid w:val="00A23965"/>
    <w:rsid w:val="00A2596D"/>
    <w:rsid w:val="00A322EB"/>
    <w:rsid w:val="00A366AC"/>
    <w:rsid w:val="00A379E3"/>
    <w:rsid w:val="00A4079D"/>
    <w:rsid w:val="00A41ED5"/>
    <w:rsid w:val="00A5015C"/>
    <w:rsid w:val="00A5616A"/>
    <w:rsid w:val="00A625F0"/>
    <w:rsid w:val="00A62659"/>
    <w:rsid w:val="00A64101"/>
    <w:rsid w:val="00A6545B"/>
    <w:rsid w:val="00A65526"/>
    <w:rsid w:val="00A7235B"/>
    <w:rsid w:val="00A72492"/>
    <w:rsid w:val="00A76330"/>
    <w:rsid w:val="00A772B5"/>
    <w:rsid w:val="00A801B2"/>
    <w:rsid w:val="00A80A1A"/>
    <w:rsid w:val="00A81714"/>
    <w:rsid w:val="00A84BCE"/>
    <w:rsid w:val="00A8508A"/>
    <w:rsid w:val="00AA5734"/>
    <w:rsid w:val="00AB15F6"/>
    <w:rsid w:val="00AB2C71"/>
    <w:rsid w:val="00AB3E2A"/>
    <w:rsid w:val="00AB5A55"/>
    <w:rsid w:val="00AB7F2E"/>
    <w:rsid w:val="00AC1150"/>
    <w:rsid w:val="00AC1BF0"/>
    <w:rsid w:val="00AC495A"/>
    <w:rsid w:val="00AC4B80"/>
    <w:rsid w:val="00AC5395"/>
    <w:rsid w:val="00AC5BD5"/>
    <w:rsid w:val="00AD16A7"/>
    <w:rsid w:val="00AD1A7D"/>
    <w:rsid w:val="00AD59E2"/>
    <w:rsid w:val="00AD600A"/>
    <w:rsid w:val="00AD618B"/>
    <w:rsid w:val="00AE45B6"/>
    <w:rsid w:val="00AE68F9"/>
    <w:rsid w:val="00AF1EEC"/>
    <w:rsid w:val="00AF25B2"/>
    <w:rsid w:val="00AF4EA9"/>
    <w:rsid w:val="00AF518B"/>
    <w:rsid w:val="00B02405"/>
    <w:rsid w:val="00B02EA7"/>
    <w:rsid w:val="00B12DF9"/>
    <w:rsid w:val="00B17DD5"/>
    <w:rsid w:val="00B2245D"/>
    <w:rsid w:val="00B24479"/>
    <w:rsid w:val="00B30553"/>
    <w:rsid w:val="00B352A9"/>
    <w:rsid w:val="00B3696F"/>
    <w:rsid w:val="00B418E1"/>
    <w:rsid w:val="00B42407"/>
    <w:rsid w:val="00B45870"/>
    <w:rsid w:val="00B512BF"/>
    <w:rsid w:val="00B51669"/>
    <w:rsid w:val="00B53DA7"/>
    <w:rsid w:val="00B607F6"/>
    <w:rsid w:val="00B61E6E"/>
    <w:rsid w:val="00B647AE"/>
    <w:rsid w:val="00B9394F"/>
    <w:rsid w:val="00B94CB3"/>
    <w:rsid w:val="00BA0854"/>
    <w:rsid w:val="00BA20F2"/>
    <w:rsid w:val="00BA2647"/>
    <w:rsid w:val="00BA2FBD"/>
    <w:rsid w:val="00BA5E6E"/>
    <w:rsid w:val="00BB1720"/>
    <w:rsid w:val="00BB2B06"/>
    <w:rsid w:val="00BB57F2"/>
    <w:rsid w:val="00BB7BD1"/>
    <w:rsid w:val="00BC33C6"/>
    <w:rsid w:val="00BC360B"/>
    <w:rsid w:val="00BC40FB"/>
    <w:rsid w:val="00BC65C6"/>
    <w:rsid w:val="00BC7F58"/>
    <w:rsid w:val="00BD1D05"/>
    <w:rsid w:val="00BD2A94"/>
    <w:rsid w:val="00BD4E28"/>
    <w:rsid w:val="00BD534D"/>
    <w:rsid w:val="00BD5D9F"/>
    <w:rsid w:val="00BD6E99"/>
    <w:rsid w:val="00BE1778"/>
    <w:rsid w:val="00BE3115"/>
    <w:rsid w:val="00BE7022"/>
    <w:rsid w:val="00BE7E0F"/>
    <w:rsid w:val="00BF1761"/>
    <w:rsid w:val="00BF6A09"/>
    <w:rsid w:val="00C050D3"/>
    <w:rsid w:val="00C07184"/>
    <w:rsid w:val="00C14C1B"/>
    <w:rsid w:val="00C21B4C"/>
    <w:rsid w:val="00C224DD"/>
    <w:rsid w:val="00C2359D"/>
    <w:rsid w:val="00C25F00"/>
    <w:rsid w:val="00C260B2"/>
    <w:rsid w:val="00C3116B"/>
    <w:rsid w:val="00C31644"/>
    <w:rsid w:val="00C33D6D"/>
    <w:rsid w:val="00C36A4B"/>
    <w:rsid w:val="00C4007B"/>
    <w:rsid w:val="00C436CA"/>
    <w:rsid w:val="00C438B6"/>
    <w:rsid w:val="00C56F2E"/>
    <w:rsid w:val="00C616EB"/>
    <w:rsid w:val="00C64F10"/>
    <w:rsid w:val="00C66129"/>
    <w:rsid w:val="00C714F9"/>
    <w:rsid w:val="00C7268F"/>
    <w:rsid w:val="00C72DBA"/>
    <w:rsid w:val="00C836BB"/>
    <w:rsid w:val="00C865DC"/>
    <w:rsid w:val="00C86BAF"/>
    <w:rsid w:val="00C91D5B"/>
    <w:rsid w:val="00C92960"/>
    <w:rsid w:val="00C932C9"/>
    <w:rsid w:val="00C95FF2"/>
    <w:rsid w:val="00CA0AAF"/>
    <w:rsid w:val="00CA239D"/>
    <w:rsid w:val="00CA2DA6"/>
    <w:rsid w:val="00CA45BD"/>
    <w:rsid w:val="00CB189D"/>
    <w:rsid w:val="00CB3549"/>
    <w:rsid w:val="00CB7E91"/>
    <w:rsid w:val="00CC3F82"/>
    <w:rsid w:val="00CE095B"/>
    <w:rsid w:val="00CE34AA"/>
    <w:rsid w:val="00CE6648"/>
    <w:rsid w:val="00CF0A27"/>
    <w:rsid w:val="00CF30FF"/>
    <w:rsid w:val="00D0680C"/>
    <w:rsid w:val="00D11D89"/>
    <w:rsid w:val="00D12FFE"/>
    <w:rsid w:val="00D156B0"/>
    <w:rsid w:val="00D22DF9"/>
    <w:rsid w:val="00D23764"/>
    <w:rsid w:val="00D3175A"/>
    <w:rsid w:val="00D41174"/>
    <w:rsid w:val="00D4190A"/>
    <w:rsid w:val="00D440FF"/>
    <w:rsid w:val="00D50481"/>
    <w:rsid w:val="00D507AA"/>
    <w:rsid w:val="00D50F73"/>
    <w:rsid w:val="00D51227"/>
    <w:rsid w:val="00D51F10"/>
    <w:rsid w:val="00D546C3"/>
    <w:rsid w:val="00D558E7"/>
    <w:rsid w:val="00D56A1B"/>
    <w:rsid w:val="00D63CA3"/>
    <w:rsid w:val="00D67DDF"/>
    <w:rsid w:val="00D7074A"/>
    <w:rsid w:val="00D72C1C"/>
    <w:rsid w:val="00D7626A"/>
    <w:rsid w:val="00D84268"/>
    <w:rsid w:val="00D8499F"/>
    <w:rsid w:val="00D8745A"/>
    <w:rsid w:val="00D91899"/>
    <w:rsid w:val="00D93A31"/>
    <w:rsid w:val="00D93FDA"/>
    <w:rsid w:val="00D94F53"/>
    <w:rsid w:val="00D97B07"/>
    <w:rsid w:val="00DA5C4A"/>
    <w:rsid w:val="00DB3784"/>
    <w:rsid w:val="00DB64EF"/>
    <w:rsid w:val="00DC0FC6"/>
    <w:rsid w:val="00DC7F00"/>
    <w:rsid w:val="00DD2467"/>
    <w:rsid w:val="00DD2E34"/>
    <w:rsid w:val="00DE1E51"/>
    <w:rsid w:val="00DE40C5"/>
    <w:rsid w:val="00DE5D47"/>
    <w:rsid w:val="00DF144C"/>
    <w:rsid w:val="00E01F34"/>
    <w:rsid w:val="00E06F5A"/>
    <w:rsid w:val="00E074B3"/>
    <w:rsid w:val="00E1093D"/>
    <w:rsid w:val="00E13478"/>
    <w:rsid w:val="00E16178"/>
    <w:rsid w:val="00E16181"/>
    <w:rsid w:val="00E22851"/>
    <w:rsid w:val="00E22CA7"/>
    <w:rsid w:val="00E24DE5"/>
    <w:rsid w:val="00E25809"/>
    <w:rsid w:val="00E27BFC"/>
    <w:rsid w:val="00E314B9"/>
    <w:rsid w:val="00E31D44"/>
    <w:rsid w:val="00E365E3"/>
    <w:rsid w:val="00E36A08"/>
    <w:rsid w:val="00E4222E"/>
    <w:rsid w:val="00E5051E"/>
    <w:rsid w:val="00E50763"/>
    <w:rsid w:val="00E547B8"/>
    <w:rsid w:val="00E54B62"/>
    <w:rsid w:val="00E54E22"/>
    <w:rsid w:val="00E67C85"/>
    <w:rsid w:val="00E722AD"/>
    <w:rsid w:val="00E75251"/>
    <w:rsid w:val="00E756A0"/>
    <w:rsid w:val="00E75859"/>
    <w:rsid w:val="00E76F92"/>
    <w:rsid w:val="00E770B7"/>
    <w:rsid w:val="00E804E8"/>
    <w:rsid w:val="00E80D41"/>
    <w:rsid w:val="00E819A1"/>
    <w:rsid w:val="00E823EC"/>
    <w:rsid w:val="00E857A0"/>
    <w:rsid w:val="00E903C5"/>
    <w:rsid w:val="00E9284E"/>
    <w:rsid w:val="00E92902"/>
    <w:rsid w:val="00E92F8E"/>
    <w:rsid w:val="00E97154"/>
    <w:rsid w:val="00EA3085"/>
    <w:rsid w:val="00EA4B49"/>
    <w:rsid w:val="00EB490C"/>
    <w:rsid w:val="00EB4D8E"/>
    <w:rsid w:val="00EB4F43"/>
    <w:rsid w:val="00EB6D55"/>
    <w:rsid w:val="00EC06D0"/>
    <w:rsid w:val="00EC61DE"/>
    <w:rsid w:val="00EC670F"/>
    <w:rsid w:val="00ED2375"/>
    <w:rsid w:val="00ED3160"/>
    <w:rsid w:val="00ED31DD"/>
    <w:rsid w:val="00ED40E1"/>
    <w:rsid w:val="00ED4B83"/>
    <w:rsid w:val="00EE229B"/>
    <w:rsid w:val="00EE474F"/>
    <w:rsid w:val="00EE5632"/>
    <w:rsid w:val="00EE6156"/>
    <w:rsid w:val="00EF134C"/>
    <w:rsid w:val="00EF4ED9"/>
    <w:rsid w:val="00EF6EAD"/>
    <w:rsid w:val="00F1640B"/>
    <w:rsid w:val="00F22FE0"/>
    <w:rsid w:val="00F258C5"/>
    <w:rsid w:val="00F300DC"/>
    <w:rsid w:val="00F30603"/>
    <w:rsid w:val="00F321AE"/>
    <w:rsid w:val="00F34045"/>
    <w:rsid w:val="00F36D85"/>
    <w:rsid w:val="00F415BA"/>
    <w:rsid w:val="00F42895"/>
    <w:rsid w:val="00F4467A"/>
    <w:rsid w:val="00F47358"/>
    <w:rsid w:val="00F50622"/>
    <w:rsid w:val="00F5117E"/>
    <w:rsid w:val="00F514A2"/>
    <w:rsid w:val="00F520E6"/>
    <w:rsid w:val="00F52A9A"/>
    <w:rsid w:val="00F541C2"/>
    <w:rsid w:val="00F55B4C"/>
    <w:rsid w:val="00F62DCE"/>
    <w:rsid w:val="00F87C5E"/>
    <w:rsid w:val="00F91750"/>
    <w:rsid w:val="00FA0437"/>
    <w:rsid w:val="00FA147A"/>
    <w:rsid w:val="00FA19A3"/>
    <w:rsid w:val="00FA6625"/>
    <w:rsid w:val="00FB0098"/>
    <w:rsid w:val="00FB0961"/>
    <w:rsid w:val="00FB3E57"/>
    <w:rsid w:val="00FC16CE"/>
    <w:rsid w:val="00FC245D"/>
    <w:rsid w:val="00FC26DA"/>
    <w:rsid w:val="00FC768A"/>
    <w:rsid w:val="00FD2D9B"/>
    <w:rsid w:val="00FD3CB7"/>
    <w:rsid w:val="00FE1513"/>
    <w:rsid w:val="00FE2FED"/>
    <w:rsid w:val="00FE3EA9"/>
    <w:rsid w:val="00FF212F"/>
    <w:rsid w:val="00FF4948"/>
    <w:rsid w:val="00FF550D"/>
    <w:rsid w:val="137E6EA5"/>
    <w:rsid w:val="18361843"/>
    <w:rsid w:val="375B5D57"/>
    <w:rsid w:val="3DFF5C08"/>
    <w:rsid w:val="3EB756BB"/>
    <w:rsid w:val="43F571B4"/>
    <w:rsid w:val="58543643"/>
    <w:rsid w:val="5BEF19B2"/>
    <w:rsid w:val="5EFD2EBB"/>
    <w:rsid w:val="5FFFF380"/>
    <w:rsid w:val="7BBF490D"/>
    <w:rsid w:val="7BDD5D6F"/>
    <w:rsid w:val="7F7FEE90"/>
    <w:rsid w:val="7FBB481B"/>
    <w:rsid w:val="87770DC7"/>
    <w:rsid w:val="97B303FC"/>
    <w:rsid w:val="AEADBE73"/>
    <w:rsid w:val="CBBBF4F8"/>
    <w:rsid w:val="D97DDC65"/>
    <w:rsid w:val="F5FFB083"/>
    <w:rsid w:val="F6FF3CAD"/>
    <w:rsid w:val="FE4FBD7D"/>
    <w:rsid w:val="FF7FB194"/>
    <w:rsid w:val="FFDBC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4"/>
    <w:uiPriority w:val="0"/>
    <w:pPr>
      <w:jc w:val="left"/>
    </w:pPr>
  </w:style>
  <w:style w:type="paragraph" w:styleId="7">
    <w:name w:val="footer"/>
    <w:basedOn w:val="1"/>
    <w:link w:val="2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uiPriority w:val="0"/>
    <w:rPr>
      <w:sz w:val="24"/>
    </w:rPr>
  </w:style>
  <w:style w:type="paragraph" w:styleId="10">
    <w:name w:val="annotation subject"/>
    <w:basedOn w:val="6"/>
    <w:next w:val="6"/>
    <w:link w:val="25"/>
    <w:qFormat/>
    <w:uiPriority w:val="0"/>
    <w:rPr>
      <w:b/>
      <w:bCs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annotation reference"/>
    <w:basedOn w:val="12"/>
    <w:uiPriority w:val="0"/>
    <w:rPr>
      <w:sz w:val="21"/>
      <w:szCs w:val="21"/>
    </w:rPr>
  </w:style>
  <w:style w:type="character" w:customStyle="1" w:styleId="16">
    <w:name w:val="citation-159"/>
    <w:basedOn w:val="12"/>
    <w:uiPriority w:val="0"/>
  </w:style>
  <w:style w:type="paragraph" w:customStyle="1" w:styleId="17">
    <w:name w:val="样式1-1"/>
    <w:basedOn w:val="1"/>
    <w:qFormat/>
    <w:uiPriority w:val="0"/>
    <w:pPr>
      <w:numPr>
        <w:ilvl w:val="0"/>
        <w:numId w:val="1"/>
      </w:numPr>
      <w:snapToGrid w:val="0"/>
      <w:spacing w:before="120" w:beforeLines="50" w:after="120" w:afterLines="50"/>
      <w:jc w:val="left"/>
      <w:outlineLvl w:val="0"/>
    </w:pPr>
    <w:rPr>
      <w:rFonts w:ascii="Times New Roman" w:hAnsi="Times New Roman" w:eastAsia="宋体" w:cs="Times New Roman"/>
      <w:b/>
      <w:kern w:val="0"/>
      <w:sz w:val="24"/>
    </w:rPr>
  </w:style>
  <w:style w:type="paragraph" w:customStyle="1" w:styleId="18">
    <w:name w:val="样式1-2"/>
    <w:basedOn w:val="1"/>
    <w:qFormat/>
    <w:uiPriority w:val="0"/>
    <w:pPr>
      <w:numPr>
        <w:ilvl w:val="1"/>
        <w:numId w:val="1"/>
      </w:numPr>
      <w:tabs>
        <w:tab w:val="left" w:pos="-840"/>
      </w:tabs>
      <w:snapToGrid w:val="0"/>
      <w:spacing w:before="120" w:beforeLines="50" w:after="120" w:afterLines="50"/>
      <w:jc w:val="left"/>
    </w:pPr>
    <w:rPr>
      <w:rFonts w:ascii="Times New Roman" w:hAnsi="Times New Roman" w:eastAsia="宋体" w:cs="Times New Roman"/>
      <w:kern w:val="0"/>
      <w:sz w:val="24"/>
    </w:rPr>
  </w:style>
  <w:style w:type="paragraph" w:customStyle="1" w:styleId="19">
    <w:name w:val="样式1-3"/>
    <w:basedOn w:val="1"/>
    <w:qFormat/>
    <w:uiPriority w:val="0"/>
    <w:pPr>
      <w:numPr>
        <w:ilvl w:val="2"/>
        <w:numId w:val="1"/>
      </w:numPr>
      <w:tabs>
        <w:tab w:val="left" w:pos="-840"/>
      </w:tabs>
      <w:snapToGrid w:val="0"/>
      <w:spacing w:before="120" w:beforeLines="50" w:after="120" w:afterLines="50"/>
      <w:jc w:val="left"/>
    </w:pPr>
    <w:rPr>
      <w:rFonts w:ascii="Times New Roman" w:hAnsi="Times New Roman" w:eastAsia="宋体" w:cs="Times New Roman"/>
      <w:kern w:val="0"/>
      <w:sz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character" w:customStyle="1" w:styleId="21">
    <w:name w:val="页眉 字符"/>
    <w:basedOn w:val="12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2">
    <w:name w:val="页脚 字符"/>
    <w:basedOn w:val="12"/>
    <w:link w:val="7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3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24">
    <w:name w:val="批注文字 字符"/>
    <w:basedOn w:val="12"/>
    <w:link w:val="6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25">
    <w:name w:val="批注主题 字符"/>
    <w:basedOn w:val="24"/>
    <w:link w:val="10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paragraph" w:customStyle="1" w:styleId="26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1277</Words>
  <Characters>7285</Characters>
  <Lines>60</Lines>
  <Paragraphs>17</Paragraphs>
  <TotalTime>1</TotalTime>
  <ScaleCrop>false</ScaleCrop>
  <LinksUpToDate>false</LinksUpToDate>
  <CharactersWithSpaces>8545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2026-04-08T09:11:00Z</dcterms:created>
  <dc:creator>Shirley</dc:creator>
  <cp:lastModifiedBy>罗皓楠</cp:lastModifiedBy>
  <dcterms:modified xsi:type="dcterms:W3CDTF">2026-04-23T06:54:00Z</dcterms:modified>
  <cp:revision>497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9C6F36E2B4114A74B034D6ACC009D4F0</vt:lpwstr>
  </property>
  <property fmtid="{D5CDD505-2E9C-101B-9397-08002B2CF9AE}" pid="4" name="KSOTemplateDocerSaveRecord">
    <vt:lpwstr>eyJoZGlkIjoiN2M5ZWYxZmQ4ZTQ1OTg1OWQxNTdmYjEwNzkzMDZhOTQiLCJ1c2VySWQiOiI2MjAxODcyMTQifQ==</vt:lpwstr>
  </property>
</Properties>
</file>