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rPr>
          <w:b/>
          <w:bCs/>
          <w:sz w:val="32"/>
          <w:szCs w:val="32"/>
          <w:rFonts w:ascii="Arial" w:cs="Arial" w:eastAsia="Arial" w:hAnsi="Arial"/>
        </w:rPr>
        <w:t xml:space="preserve">White Paper — Graph-Native LLM-Enhanced CTI</w:t>
      </w:r>
    </w:p>
    <w:p>
      <w:pPr>
        <w:spacing w:after="120"/>
        <w:rPr>
          <w:i/>
          <w:iCs/>
          <w:color w:val="666666"/>
        </w:rPr>
      </w:pPr>
      <w:r>
        <w:rPr>
          <w:i/>
          <w:iCs/>
          <w:color w:val="666666"/>
          <w:sz w:val="22"/>
          <w:szCs w:val="22"/>
          <w:rFonts w:ascii="Arial" w:cs="Arial" w:eastAsia="Arial" w:hAnsi="Arial"/>
        </w:rPr>
        <w:t xml:space="preserve">Generated: 2026-04-18</w:t>
      </w:r>
    </w:p>
    <w:p>
      <w:r>
        <w:br w:type="page"/>
      </w:r>
    </w:p>
    <w:p>
      <w:pPr>
        <w:pStyle w:val="Heading1"/>
        <w:spacing w:before="240" w:after="120"/>
      </w:pPr>
      <w:r>
        <w:rPr>
          <w:b/>
          <w:bCs/>
          <w:sz w:val="32"/>
          <w:szCs w:val="32"/>
          <w:rFonts w:ascii="Arial" w:cs="Arial" w:eastAsia="Arial" w:hAnsi="Arial"/>
        </w:rPr>
        <w:t xml:space="preserve">White Paper: A Graph-Native, LLM-Enhanced Cyber Threat Intelligence System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**Date:** 2026-04-18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**Authors:** ThreatGraph Research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2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Abstract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We present an LLM-Enhanced Knowledge Graph and Attribution System for Cyber Threat Intelligence (CTI) that departs from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post-hoc parsing pipelines (e.g. OpenCTI) by **embedding knowledge-graph construction inside the LLM reasoning layer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itself**. Using `google/gemini-3-flash-preview` as the backbone via the Lovable AI Gateway, the system performs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graph-native Chain-of-Thought extraction in which (Subject, Predicate, Object) triples are produced as first-class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reasoning steps under enforced STIX 2.1 ontology. Causal links (`enables`, `leads_to`, `triggers`, `precedes`) are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emitted in the same pass, with temporal ordering. A neuro-symbolic engine then applies ten symbolic validation rules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and computes a credibility score `S = Σ(wᵢ × confᵢ × reliabilityᵢ) / N`. Attribution is performed via graph-path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analysis (`weight = Π(conf_edge)`). The system is evaluated against BERT-NER and rule-based baselines on a two-stage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benchmark (MITRE ATT&amp;CK + CAPEC; then + NVD/CVE + STIX/TAXII).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2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1. Problem Statement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Existing LLM-driven CTI tools treat the LLM as a *text producer* whose output must be parsed into a graph. This loses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provenance, fails STIX compliance silently, and prevents causal reasoning from being grounded in the same reasoning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trace. The result is hallucinated edges, missing temporal order, and brittle attribution.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2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2. Methodology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2.1 Graph-Native CoT (Chapter 3)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8-step prompt; Steps 1–2 produce typed entities, 3–4 produce relations with edge typing, 5–6 attach confidence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weighted by source reliability, 7–8 emit graph metadata and a narrative summary.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2.2 Embedded Causality (Chapter 4)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Causal triples emitted in the same LLM call; post-hoc DAG cycle detection ensures acyclicity. MITRE ATT&amp;CK kill-chain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tactic alignment is computed per causal link.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2.3 Neuro-Symbolic Conflict Resolution (Chapter 4)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Ten symbolic rules (entity confidence, endpoint validation, source reliability, temporal consistency, DAG cycles,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confidence-propagation anomalies, orphan detection, STIX compliance, low/high confidence asymmetry, contradictions).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Ambiguous violations are routed to the LLM for resolution.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2.4 Graph-Aware Attribution (Chapter 4)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Hub / authority / bridge node identification; alternative-actor ranking with path-weight scoring; reasoning trace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output for explainability.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2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3. Experimental Design (Chapter 5)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Two-stage evaluation with growing dataset diversity to measure **scale degradation**: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Stage 1 (1,000 samples): MITRE ATT&amp;CK + CAPEC.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Stage 2 (3,050 samples): + NVD/CVE + STIX/TAXII.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Baselines: BERT-NER (SecureBERT) and rule-based regex extraction.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Live runner: `supabase/functions/experiment-runner` invokes the LLM and computes precision/recall/F1 against gold.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2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4. Self-Monitoring Mechanism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Every change is recorded in a versioned Implementation Log (currently 12 entries) synchronized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to GitHub. A repository inventory enumerates 23 files with their LLM role and research-chapter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mapping. 7 verified LLM call-sites are catalogued, and a live probe button on the dashboard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measures gateway round-trip latency. This Technical Report, this White Paper, and CSV/JSON inventory tables are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auto-regenerated by `scripts/generate-reports.mjs` so documentation never drifts from code.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2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5. Conclusion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By moving graph construction *into* the LLM reasoning layer, this system achieves what post-hoc OpenCTI pipelines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cannot: STIX-compliant triples with embedded causality and provenance, validated by neuro-symbolic rules, and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attributed via graph-path weights — all reproducibly logged and self-documenting.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White Paper — Graph-Native LLM-Enhanced CTI</dc:title>
  <dc:creator>ThreatGraph Self-Monitor</dc:creator>
  <cp:lastModifiedBy>Un-named</cp:lastModifiedBy>
  <cp:revision>1</cp:revision>
  <dcterms:created xsi:type="dcterms:W3CDTF">2026-04-18T02:32:04.071Z</dcterms:created>
  <dcterms:modified xsi:type="dcterms:W3CDTF">2026-04-18T02:32:04.071Z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