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White Paper — Graph-Native LLM-Enhanced CTI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  <w:sz w:val="22"/>
          <w:szCs w:val="22"/>
          <w:rFonts w:ascii="Arial" w:cs="Arial" w:eastAsia="Arial" w:hAnsi="Arial"/>
        </w:rPr>
        <w:t xml:space="preserve">Generated: 2026-04-18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White Paper: A Graph-Native, LLM-Enhanced Cyber Threat Intelligence System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**Date:** 2026-04-18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**Authors:** ThreatGraph Research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Abstract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We present an LLM-Enhanced Knowledge Graph and Attribution System for Cyber Threat Intelligence (CTI) that departs from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post-hoc parsing pipelines (e.g. OpenCTI) by **embedding knowledge-graph construction inside the LLM reasoning layer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itself**. Using `google/gemini-3-flash-preview` as the backbone via the Lovable AI Gateway, the system performs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graph-native Chain-of-Thought extraction in which (Subject, Predicate, Object) triples are produced as first-class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reasoning steps under enforced STIX 2.1 ontology. Causal links (`enables`, `leads_to`, `triggers`, `precedes`) are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emitted in the same pass, with temporal ordering. A neuro-symbolic engine then applies ten symbolic validation rules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and computes a credibility score `S = Σ(wᵢ × confᵢ × reliabilityᵢ) / N`. Attribution is performed via graph-path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analysis (`weight = Π(conf_edge)`). The system is evaluated against BERT-NER and rule-based baselines on a two-stage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benchmark (MITRE ATT&amp;CK + CAPEC; then + NVD/CVE + STIX/TAXII).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1. Problem Statement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Existing LLM-driven CTI tools treat the LLM as a *text producer* whose output must be parsed into a graph. This loses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provenance, fails STIX compliance silently, and prevents causal reasoning from being grounded in the same reasoning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trace. The result is hallucinated edges, missing temporal order, and brittle attribution.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 Methodology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2.1 Graph-Native CoT (Chapter 3)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8-step prompt; Steps 1–2 produce typed entities, 3–4 produce relations with edge typing, 5–6 attach confidence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weighted by source reliability, 7–8 emit graph metadata and a narrative summary.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2.2 Embedded Causality (Chapter 4)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Causal triples emitted in the same LLM call; post-hoc DAG cycle detection ensures acyclicity. MITRE ATT&amp;CK kill-chain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tactic alignment is computed per causal link.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2.3 Neuro-Symbolic Conflict Resolution (Chapter 4)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Ten symbolic rules (entity confidence, endpoint validation, source reliability, temporal consistency, DAG cycles,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confidence-propagation anomalies, orphan detection, STIX compliance, low/high confidence asymmetry, contradictions).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Ambiguous violations are routed to the LLM for resolution.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3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2.4 Graph-Aware Attribution (Chapter 4)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Hub / authority / bridge node identification; alternative-actor ranking with path-weight scoring; reasoning trace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output for explainability.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3. Experimental Design (Chapter 5)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Two-stage evaluation with growing dataset diversity to measure **scale degradation**: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Stage 1 (1,000 samples): MITRE ATT&amp;CK + CAPEC.</w:t>
      </w:r>
    </w:p>
    <w:p>
      <w:pPr>
        <w:spacing w:after="120"/>
        <w:ind w:left="360"/>
      </w:pPr>
      <w:r>
        <w:rPr>
          <w:sz w:val="22"/>
          <w:szCs w:val="22"/>
          <w:rFonts w:ascii="Arial" w:cs="Arial" w:eastAsia="Arial" w:hAnsi="Arial"/>
        </w:rPr>
        <w:t xml:space="preserve">• Stage 2 (3,050 samples): + NVD/CVE + STIX/TAXII.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Baselines: BERT-NER (SecureBERT) and rule-based regex extraction.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Live runner: `supabase/functions/experiment-runner` invokes the LLM and computes precision/recall/F1 against gold.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4. Self-Monitoring Mechanism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Every change is recorded in a versioned Implementation Log (currently 11 entries) synchronized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to GitHub. A repository inventory enumerates 23 files with their LLM role and research-chapter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mapping. 7 verified LLM call-sites are catalogued, and a live probe button on the dashboard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measures gateway round-trip latency. This Technical Report, this White Paper, and CSV/JSON inventory tables are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auto-regenerated by `scripts/generate-reports.mjs` so documentation never drifts from code.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pStyle w:val="Heading2"/>
        <w:spacing w:before="240" w:after="120"/>
      </w:pPr>
      <w:r>
        <w:rPr>
          <w:b/>
          <w:bCs/>
          <w:sz w:val="26"/>
          <w:szCs w:val="26"/>
          <w:rFonts w:ascii="Arial" w:cs="Arial" w:eastAsia="Arial" w:hAnsi="Arial"/>
        </w:rPr>
        <w:t xml:space="preserve">5. Conclusion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By moving graph construction *into* the LLM reasoning layer, this system achieves what post-hoc OpenCTI pipelines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cannot: STIX-compliant triples with embedded causality and provenance, validated by neuro-symbolic rules, and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>attributed via graph-path weights — all reproducibly logged and self-documenting.</w:t>
      </w:r>
    </w:p>
    <w:p>
      <w:pPr>
        <w:spacing w:after="120"/>
      </w:pPr>
      <w:r>
        <w:rPr>
          <w:sz w:val="22"/>
          <w:szCs w:val="22"/>
          <w:rFonts w:ascii="Arial" w:cs="Arial" w:eastAsia="Arial" w:hAnsi="Arial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Paper — Graph-Native LLM-Enhanced CTI</dc:title>
  <dc:creator>ThreatGraph Self-Monitor</dc:creator>
  <cp:lastModifiedBy>Un-named</cp:lastModifiedBy>
  <cp:revision>1</cp:revision>
  <dcterms:created xsi:type="dcterms:W3CDTF">2026-04-18T02:30:26.068Z</dcterms:created>
  <dcterms:modified xsi:type="dcterms:W3CDTF">2026-04-18T02:30:26.068Z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