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F43" w:rsidRDefault="0088513D">
      <w:pPr>
        <w:pStyle w:val="10"/>
      </w:pPr>
      <w:r>
        <w:t>Emerging Technology Opportunity Identification Based on Community Detection and Burst Detection: A Case study of Intelligent Robots</w:t>
      </w:r>
    </w:p>
    <w:p w:rsidR="00025F43" w:rsidRDefault="0088513D">
      <w:pPr>
        <w:pStyle w:val="11"/>
        <w:spacing w:line="320" w:lineRule="exact"/>
        <w:ind w:left="403" w:right="403"/>
        <w:jc w:val="center"/>
        <w:rPr>
          <w:kern w:val="0"/>
          <w:sz w:val="22"/>
          <w:szCs w:val="22"/>
        </w:rPr>
      </w:pPr>
      <w:r>
        <w:rPr>
          <w:kern w:val="0"/>
          <w:sz w:val="22"/>
          <w:szCs w:val="22"/>
        </w:rPr>
        <w:t xml:space="preserve"> </w:t>
      </w:r>
      <w:r>
        <w:rPr>
          <w:rFonts w:hint="eastAsia"/>
          <w:kern w:val="0"/>
          <w:sz w:val="22"/>
          <w:szCs w:val="22"/>
        </w:rPr>
        <w:t>Jingwen Luo</w:t>
      </w:r>
      <w:r>
        <w:rPr>
          <w:rFonts w:hint="eastAsia"/>
          <w:kern w:val="0"/>
          <w:sz w:val="22"/>
          <w:szCs w:val="22"/>
          <w:vertAlign w:val="superscript"/>
        </w:rPr>
        <w:t>1,2</w:t>
      </w:r>
      <w:r>
        <w:rPr>
          <w:rFonts w:hint="eastAsia"/>
          <w:kern w:val="0"/>
          <w:sz w:val="22"/>
          <w:szCs w:val="22"/>
        </w:rPr>
        <w:t>, Zou Fang</w:t>
      </w:r>
      <w:r w:rsidRPr="005B61A6">
        <w:rPr>
          <w:rFonts w:hint="eastAsia"/>
          <w:kern w:val="0"/>
          <w:sz w:val="22"/>
          <w:szCs w:val="22"/>
          <w:vertAlign w:val="superscript"/>
        </w:rPr>
        <w:t>3</w:t>
      </w:r>
      <w:r>
        <w:rPr>
          <w:rFonts w:hint="eastAsia"/>
          <w:kern w:val="0"/>
          <w:sz w:val="22"/>
          <w:szCs w:val="22"/>
        </w:rPr>
        <w:t>, Yujie Peng</w:t>
      </w:r>
      <w:r w:rsidRPr="005B61A6">
        <w:rPr>
          <w:rFonts w:hint="eastAsia"/>
          <w:kern w:val="0"/>
          <w:sz w:val="22"/>
          <w:szCs w:val="22"/>
          <w:vertAlign w:val="superscript"/>
        </w:rPr>
        <w:t>4</w:t>
      </w:r>
      <w:r>
        <w:rPr>
          <w:rFonts w:hint="eastAsia"/>
          <w:kern w:val="0"/>
          <w:sz w:val="22"/>
          <w:szCs w:val="22"/>
        </w:rPr>
        <w:t>, Ying Huang</w:t>
      </w:r>
      <w:r w:rsidR="005B61A6" w:rsidRPr="005B61A6">
        <w:rPr>
          <w:kern w:val="0"/>
          <w:sz w:val="22"/>
          <w:szCs w:val="22"/>
          <w:vertAlign w:val="superscript"/>
        </w:rPr>
        <w:t>1</w:t>
      </w:r>
      <w:r w:rsidRPr="005B61A6">
        <w:rPr>
          <w:rFonts w:hint="eastAsia"/>
          <w:kern w:val="0"/>
          <w:sz w:val="22"/>
          <w:szCs w:val="22"/>
          <w:vertAlign w:val="superscript"/>
        </w:rPr>
        <w:t>,5*</w:t>
      </w:r>
    </w:p>
    <w:p w:rsidR="00025F43" w:rsidRDefault="00025F43">
      <w:pPr>
        <w:pStyle w:val="11"/>
        <w:spacing w:line="320" w:lineRule="exact"/>
        <w:ind w:left="403" w:right="403"/>
        <w:jc w:val="center"/>
        <w:rPr>
          <w:kern w:val="0"/>
          <w:sz w:val="22"/>
          <w:szCs w:val="22"/>
        </w:rPr>
      </w:pPr>
    </w:p>
    <w:p w:rsidR="00025F43" w:rsidRDefault="0088513D" w:rsidP="00327BA9">
      <w:pPr>
        <w:pStyle w:val="address"/>
      </w:pPr>
      <w:r>
        <w:rPr>
          <w:rFonts w:hint="eastAsia"/>
        </w:rPr>
        <w:t>1. School of Information Management, Wuhan University, China</w:t>
      </w:r>
    </w:p>
    <w:p w:rsidR="00025F43" w:rsidRDefault="0088513D" w:rsidP="00327BA9">
      <w:pPr>
        <w:pStyle w:val="address"/>
      </w:pPr>
      <w:r>
        <w:rPr>
          <w:rFonts w:hint="eastAsia"/>
        </w:rPr>
        <w:t>2. Information School, The University of Sheffield, United Kingdom</w:t>
      </w:r>
    </w:p>
    <w:p w:rsidR="00025F43" w:rsidRDefault="0088513D" w:rsidP="00327BA9">
      <w:pPr>
        <w:pStyle w:val="address"/>
      </w:pPr>
      <w:r>
        <w:rPr>
          <w:rFonts w:hint="eastAsia"/>
        </w:rPr>
        <w:t>3. School of Public Administration, Hunan University, China )</w:t>
      </w:r>
    </w:p>
    <w:p w:rsidR="00025F43" w:rsidRDefault="0088513D" w:rsidP="00327BA9">
      <w:pPr>
        <w:pStyle w:val="address"/>
      </w:pPr>
      <w:r>
        <w:rPr>
          <w:rFonts w:hint="eastAsia"/>
        </w:rPr>
        <w:t>4. Department of Management and Economics, North China University of Water Resources and Electric Power, China</w:t>
      </w:r>
    </w:p>
    <w:p w:rsidR="00025F43" w:rsidRPr="005B61A6" w:rsidRDefault="0088513D" w:rsidP="005B61A6">
      <w:pPr>
        <w:pStyle w:val="address"/>
      </w:pPr>
      <w:r>
        <w:rPr>
          <w:rFonts w:hint="eastAsia"/>
        </w:rPr>
        <w:t>5. Centre for R&amp;D Monitoring (ECOOM) and Department of MSI, KU Leuven,</w:t>
      </w:r>
      <w:r w:rsidR="00327BA9">
        <w:t xml:space="preserve"> </w:t>
      </w:r>
      <w:r>
        <w:rPr>
          <w:rFonts w:hint="eastAsia"/>
        </w:rPr>
        <w:t>Belgium</w:t>
      </w:r>
    </w:p>
    <w:p w:rsidR="00025F43" w:rsidRDefault="0088513D">
      <w:pPr>
        <w:pStyle w:val="abstract"/>
        <w:spacing w:after="0"/>
      </w:pPr>
      <w:r>
        <w:rPr>
          <w:b/>
          <w:bCs/>
        </w:rPr>
        <w:t>Abstract</w:t>
      </w:r>
      <w:r>
        <w:t xml:space="preserve">: Due to a new round of technological revolution and industrial transformation driven by artificial intelligence, emerging technologies have triggered a new round of unprecedented developments. Understanding the technology development trend and identifying potential technology opportunities has become an essential proposition for academia and industry. Based on patent document data, </w:t>
      </w:r>
      <w:r w:rsidR="005B61A6">
        <w:rPr>
          <w:rFonts w:hint="eastAsia"/>
          <w:lang w:eastAsia="zh-CN"/>
        </w:rPr>
        <w:t>we</w:t>
      </w:r>
      <w:r w:rsidR="005B61A6">
        <w:t xml:space="preserve"> </w:t>
      </w:r>
      <w:r>
        <w:t>appl</w:t>
      </w:r>
      <w:r w:rsidR="005B61A6">
        <w:rPr>
          <w:rFonts w:hint="eastAsia"/>
          <w:lang w:eastAsia="zh-CN"/>
        </w:rPr>
        <w:t>y</w:t>
      </w:r>
      <w:r>
        <w:t xml:space="preserve"> text analysis to extract technical terms, introduce the community detection model to technology topics, then construct a framework for identifying opportunities for emerging technologies from three perspectives: technological R&amp;D trends, competitive environment, and technology layout. The intelligent robot technology is illustrated as an empirical study to clarify the proposed framework. We conclude three main findings: First, intelligent robot technology has undergone three evolution stages and formed 16 key topics, among which IoT robot, sensor fib</w:t>
      </w:r>
      <w:r w:rsidR="005B61A6">
        <w:t>re</w:t>
      </w:r>
      <w:r>
        <w:t xml:space="preserve"> resistance, and pneumatic muscle have become hotspots in recent years; Second, China has an absolute advantage in the scale of intelligent robot technology, but it has a noticeable strength gap with other countries and regions in core technologies; Third, compared to the other leading countries in intelligent robots field, the layout of China's overseas technology market is relatively limited, especially in remote control, robot voice and intelligent detection. The proposed opportunity identification framework can clarify emerging technologies' overall context and provide a </w:t>
      </w:r>
      <w:r w:rsidR="005B61A6">
        <w:t>help</w:t>
      </w:r>
      <w:r>
        <w:t>ful reference for emerging technologies' market layout and technology layout.</w:t>
      </w:r>
    </w:p>
    <w:p w:rsidR="00025F43" w:rsidRDefault="0088513D">
      <w:pPr>
        <w:pStyle w:val="keywords"/>
      </w:pPr>
      <w:r>
        <w:rPr>
          <w:b/>
          <w:bCs/>
        </w:rPr>
        <w:t>Keywords:</w:t>
      </w:r>
      <w:r>
        <w:t xml:space="preserve"> Intelligent Robot; Emerging Technology; Patent Analysis; Topic Identification; Technology Opportunity Analysis</w:t>
      </w:r>
    </w:p>
    <w:p w:rsidR="00025F43" w:rsidRDefault="0088513D">
      <w:pPr>
        <w:pStyle w:val="heading1"/>
      </w:pPr>
      <w:r>
        <w:br w:type="page"/>
      </w:r>
      <w:r>
        <w:lastRenderedPageBreak/>
        <w:t>Introduction</w:t>
      </w:r>
    </w:p>
    <w:p w:rsidR="00025F43" w:rsidRDefault="0088513D">
      <w:pPr>
        <w:pStyle w:val="p1a"/>
      </w:pPr>
      <w:r>
        <w:t>The technology's iteration is accelerating rapidly, with old technologies always being eliminated and new ones emerging. Only by timely grasping the trend of emerging technology development and taking the lead in occupying the advantageous layout of emerging technology</w:t>
      </w:r>
      <w:r w:rsidR="00567866">
        <w:t xml:space="preserve"> can the nations/enterprise</w:t>
      </w:r>
      <w:r>
        <w:t xml:space="preserve"> win the competitive advantage in the fierce technological and industrial revolution. An accurate grasp of emerging technologies' development trends relies on the effective identification and dynamic monitoring of technology topics.</w:t>
      </w:r>
    </w:p>
    <w:p w:rsidR="00025F43" w:rsidRDefault="0088513D">
      <w:r>
        <w:t xml:space="preserve">The pioneering </w:t>
      </w:r>
      <w:r>
        <w:rPr>
          <w:lang w:eastAsia="zh-CN"/>
        </w:rPr>
        <w:t>researcher</w:t>
      </w:r>
      <w:r>
        <w:t xml:space="preserve">, Alan L. Porter from Georgia Institute of Technology, who proposed the </w:t>
      </w:r>
      <w:r>
        <w:rPr>
          <w:lang w:eastAsia="zh-CN"/>
        </w:rPr>
        <w:t>framework</w:t>
      </w:r>
      <w:r>
        <w:t xml:space="preserve"> of Technology Opportunity Analysis (TOA), indicated that analyzing the changes of related technology or the socio-economic environment in a specific technology field through technology detection and </w:t>
      </w:r>
      <w:r>
        <w:rPr>
          <w:lang w:eastAsia="zh-CN"/>
        </w:rPr>
        <w:t>b</w:t>
      </w:r>
      <w:r>
        <w:t xml:space="preserve">ibliometrics can play a particular role in predicting the technology development in this field </w:t>
      </w:r>
      <w:r>
        <w:rPr>
          <w:lang w:eastAsia="zh-CN"/>
        </w:rPr>
        <w:t>(</w:t>
      </w:r>
      <w:r>
        <w:fldChar w:fldCharType="begin" w:fldLock="1"/>
      </w:r>
      <w:r>
        <w:instrText>ADDIN CSL_CITATION {"citationItems":[{"id":"ITEM-1","itemData":{"ISSN":"1062-8142","abstract":"We present an approach to efficiently generate effective intelligence on emerging technologies. This approach draws on monitoring and bibliometrics to mine the wealth of information available in major public electronic databases. The approach uses new software to expedite secondary analyses of database searches on topics of interest. We illustrate the range of information profiles possible by examining research and development (R&amp;D) publications and patents pertaining to electronics assembly and, more specifically, to multichip module development. © 1995.","author":[{"dropping-particle":"","family":"Porter","given":"Alan","non-dropping-particle":"","parse-names":false,"suffix":""}],"container-title":"SRA Journal","id":"ITEM-1","issued":{"date-parts":[["1994"]]},"title":"Technology Opportunities Analysis: Integrating Technology Monitoring, Forecasting, and Assessment with Strategic Planning.","type":"article-journal"},"uris":["http://www.mendeley.com/documents/?uuid=a2d28676-b5c9-4cde-b7f7-93bfc9efb582"]}],"mendeley":{"formattedCitation":"(Porter, 1994)","manualFormatting":"Porter et al., 1995)","plainTextFormattedCitation":"(Porter, 1994)","previouslyFormattedCitation":"(Porter, 1994)"},"properties":{"noteIndex":0},"schema":"https://github.com/citation-style-language/schema/raw/master/csl-citation.json"}</w:instrText>
      </w:r>
      <w:r>
        <w:fldChar w:fldCharType="separate"/>
      </w:r>
      <w:r>
        <w:rPr>
          <w:lang w:eastAsia="zh-CN"/>
        </w:rPr>
        <w:t xml:space="preserve">Porter </w:t>
      </w:r>
      <w:r>
        <w:rPr>
          <w:rFonts w:hint="eastAsia"/>
          <w:lang w:eastAsia="zh-CN"/>
        </w:rPr>
        <w:t>et</w:t>
      </w:r>
      <w:r>
        <w:rPr>
          <w:lang w:eastAsia="zh-CN"/>
        </w:rPr>
        <w:t xml:space="preserve"> al., 1995)</w:t>
      </w:r>
      <w:r>
        <w:fldChar w:fldCharType="end"/>
      </w:r>
      <w:r>
        <w:t>. TOA is a process of identifying emerging technologies and exploring promising technologies in specific technology fields. Later, scholars research and elaborate TOA based on Porter's systematic explanation, which can be mainly divided into three aspects:</w:t>
      </w:r>
    </w:p>
    <w:p w:rsidR="00025F43" w:rsidRDefault="0088513D">
      <w:pPr>
        <w:pStyle w:val="bulletitem"/>
      </w:pPr>
      <w:r>
        <w:t xml:space="preserve">Connotation and functions. </w:t>
      </w:r>
      <w:r>
        <w:fldChar w:fldCharType="begin" w:fldLock="1"/>
      </w:r>
      <w:r>
        <w:instrText>ADDIN CSL_CITATION {"citationItems":[{"id":"ITEM-1","itemData":{"author":[{"dropping-particle":"","family":"Zhu","given":"Donghua","non-dropping-particle":"","parse-names":false,"suffix":""},{"dropping-particle":"","family":"Wu","given":"Cisheng","non-dropping-particle":"","parse-names":false,"suffix":""},{"dropping-particle":"","family":"Mao","given":"Jiajie","non-dropping-particle":"","parse-names":false,"suffix":""}],"container-title":"INDUSTRIAL ENGINEERING JOURNAL","id":"ITEM-1","issued":{"date-parts</w:instrText>
      </w:r>
      <w:r>
        <w:rPr>
          <w:rFonts w:hint="eastAsia"/>
        </w:rPr>
        <w:instrText xml:space="preserve">":[["1998"]]},"title":"Analysis of Technology Opportunities Based on Data Network Environment </w:instrText>
      </w:r>
      <w:r>
        <w:rPr>
          <w:rFonts w:hint="eastAsia"/>
        </w:rPr>
        <w:instrText>＊</w:instrText>
      </w:r>
      <w:r>
        <w:rPr>
          <w:rFonts w:hint="eastAsia"/>
        </w:rPr>
        <w:instrText>","type":"article-journal"},"uris":["http://www.mendeley.com/documents/?uuid=aed75b19-2843-491d-a58f-c969d356384b"]}],"mendeley":{"formattedCitation":"(Zhu et a</w:instrText>
      </w:r>
      <w:r>
        <w:instrText>l., 1998)","manualFormatting":"Zhu et al., (1998)","plainTextFormattedCitation":"(Zhu et al., 1998)","previouslyFormattedCitation":"(Zhu et al., 1998)"},"properties":{"noteIndex":0},"schema":"https://github.com/citation-style-language/schema/raw/master/csl-citation.json"}</w:instrText>
      </w:r>
      <w:r>
        <w:fldChar w:fldCharType="separate"/>
      </w:r>
      <w:r>
        <w:rPr>
          <w:lang w:eastAsia="zh-CN"/>
        </w:rPr>
        <w:t>Zhu et al. (1998)</w:t>
      </w:r>
      <w:r>
        <w:fldChar w:fldCharType="end"/>
      </w:r>
      <w:r>
        <w:t xml:space="preserve"> established an analysis system based on data analysis and expert evaluation to provide the basis for monitoring and early warning and government decision-making in specific technology fields. </w:t>
      </w:r>
      <w:r>
        <w:fldChar w:fldCharType="begin" w:fldLock="1"/>
      </w:r>
      <w:r>
        <w:instrText>ADDIN CSL_CITATION {"citationItems":[{"id":"ITEM-1","itemData":{"DOI":"10.1016/j.techfore.2004.08.011","ISSN":"00401625","abstract":"Morphology analysis (MA), a representative qualitative technique in technology forecasting (TF), has been utilized to identify technology opportunities. However, conventional MA is subject to limitations in that there is no scientific or systematic way in establishing the morphology of technology, and it is difficult to prioritize the alternatives. As a remedy, we propose a keyword-based MA that is supported by a systematic procedure and quantitative data for concluding the morphology of technology. To this end, a technology dictionary is developed by factor analysis for keywords that are extracted from patent documents through text mining. Then, the morphology of patents is identified based on the technology dictionary. By listing the occupied configurations of collected patents, the unoccupied territory of configurations are suggested as technology opportunities. Moreover, the priority of alternatives is concluded, and similar and substitutive technologies can be analyzed for the purpose of extending morphology structure. Technical and managerial strategy for in-house R&amp;D or cross-licensing can also be supported by examining the morphology portfolio of technologies. A thin film transistor-liquid crystal display (TFT-LCD) case is exemplified to illustrate the detailed procedure of this brand-new MA. © 2004 Elsevier Inc. All rights reserved.","author":[{"dropping-particle":"","family":"Boon","given":"Byungun","non-dropping-particle":"","parse-names":false,"suffix":""},{"dropping-particle":"","family":"Park","given":"Yongtae","non-dropping-particle":"","parse-names":false,"suffix":""}],"container-title":"Technological Forecasting and Social Change","id":"ITEM-1","issued":{"date-parts":[["2005"]]},"title":"A systematic approach for identifying technology opportunities: Keyword-based morphology analysis","type":"article-journal"},"uris":["http://www.mendeley.com/documents/?uuid=91b8d048-a276-4154-b03e-55cb79ff181e"]}],"mendeley":{"formattedCitation":"(Boon &amp; Park, 2005)","manualFormatting":"Yoon and Park (2005)","plainTextFormattedCitation":"(Boon &amp; Park, 2005)","previouslyFormattedCitation":"(Boon &amp; Park, 2005)"},"properties":{"noteIndex":0},"schema":"https://github.com/citation-style-language/schema/raw/master/csl-citation.json"}</w:instrText>
      </w:r>
      <w:r>
        <w:fldChar w:fldCharType="separate"/>
      </w:r>
      <w:r>
        <w:rPr>
          <w:lang w:eastAsia="zh-CN"/>
        </w:rPr>
        <w:t>Yoon and Park (2005)</w:t>
      </w:r>
      <w:r>
        <w:fldChar w:fldCharType="end"/>
      </w:r>
      <w:r>
        <w:t xml:space="preserve"> regarded </w:t>
      </w:r>
      <w:r>
        <w:rPr>
          <w:lang w:eastAsia="zh-CN"/>
        </w:rPr>
        <w:t>TOA</w:t>
      </w:r>
      <w:r>
        <w:t xml:space="preserve"> as one of the research methods of technology forecasting, which is in line with many technology management researchers </w:t>
      </w:r>
      <w:r>
        <w:fldChar w:fldCharType="begin" w:fldLock="1"/>
      </w:r>
      <w:r>
        <w:instrText>ADDIN CSL_CITATION {"citationItems":[{"id":"ITEM-1","itemData":{"DOI":"10.1287/orsc.11.4.448.14602","ISSN":"10477039","abstract":"Before technological change leads to new processes, products, markets, or ways of organizing, entrepreneurs must discover opportunities in which to exploit the new technology. To date, research has not explained adequately why entrepreneurs discover these opportunities, which creates several conceptual problems in the entrepreneurship literature. Drawing on Austrian economics, I argue that opportunity discovery is a function of the distribution of information in society (Hayek 1945). Through in-depth case studies of eight sets of entrepreneurs who exploit a single MIT invention, I show that entrepreneurs discover opportunities related to the information that they already possess. I use these findings to draw several implications that differ from those prevailing in the entrepreneurship literature, including: (1) entrepreneurs do not always select between alternative market opportunities for new technologies; (2) the source of entrepreneurship lies in differences in information about opportunities; (3) the results of prior studies of entrepreneurial exploitation may suffer from bias; and (4) individual differences influence the opportunities that people discover, how their entrepreneurial efforts are organized, and how the government can influence this process.","author":[{"dropping-particle":"","family":"Shane","given":"Scott","non-dropping-particle":"","parse-names":false,"suffix":""}],"container-title":"Organization Science","id":"ITEM-1","issued":{"date-parts":[["2000"]]},"title":"Prior Knowledge and the Discovery of Entrepreneurial Opportunities","type":"article-journal"},"uris":["http://www.mendeley.com/documents/?uuid=82438686-ceb7-4f7e-ab06-d4da178a8885"]},{"id":"ITEM-2","itemData":{"DOI":"10.1016/S0040-1625(01)00157-3","ISSN":"00401625","abstract":"Empirical technology forecasting (TF) is not well utilized in technology management. Three factors could enhance managerial utilization: capability to exploit huge volumes of available information, ways to do so very quickly, and informative representations that help manage emerging technologies. This paper reports on efforts to address these three factors via partially automated processes to generate helpful knowledge from text quickly and graphically. We first illustrate a process to generate a family of technology maps that help convey emphases, players, and patterns in the development of a target technology. Second, we exemplify the generation of particular \"innovation indicators\" that measure particular facets of R and D activity to relate these to technological maturation, contextual influences, and market potential. Both technology mapping and innovation indicators rely upon searches in huge, easily accessible, abstract databases and text mining software. We augment these through \"macros\" (programming scripts) that automatically sequence the necessary steps to generate particular desired information products. These analytical findings can be tailored to the needs of particular technology managers. © 2002 Elsevier Science Inc. All rights reserved.","author":[{"dropping-particle":"","family":"Zhu","given":"Donghua","non-dropping-particle":"","parse-names":false,"suffix":""},{"dropping-particle":"","family":"Porter","given":"Alan L.","non-dropping-particle":"","parse-names":false,"suffix":""},{"dropping-particle":"","family":"Porter","given":"Alan L.","non-dropping-particle":"","parse-names":false,"suffix":""}],"container-title":"Technological Forecasting and Social Change","id":"ITEM-2","issued":{"date-parts":[["2002"]]},"title":"Automated extraction and visualization of information for technological intelligence and forecasting","type":"article-journal"},"uris":["http://www.mendeley.com/documents/?uuid=e18c5382-e868-4262-b479-141bc9250a4b"]},{"id":"ITEM-3","itemData":{"abstract":"This paper introduces the concept of technology opportunity given by scholars at home and abroad,and uses bibliometric analysis to analyse what the research focus on,the research methods adopted and applications related to technology opportunity at home and aboard.","author":[{"dropping-particle":"","family":"Yang","given":"Li","non-dropping-particle":"","parse-names":false,"suffix":""},{"dropping-particle":"","family":"Peiyang","given":"Xu","non-dropping-particle":"","parse-names":false,"suffix":""}],"container-title":"Information Research","id":"ITEM-3","issued":{"date-parts":[["2013"]]},"page":"7-11","title":"Analysis on Research Status Quo of Technology Opportunity at Home and Abroad","type":"article-journal","volume":"01"},"uris":["http://www.mendeley.com/documents/?uuid=893c9ddc-9a1c-44ec-947e-63297a124f08"]}],"mendeley":{"formattedCitation":"(Shane, 2000; Yang &amp; Peiyang, 2013; Zhu et al., 2002)","manualFormatting":"(Shane, 2000; Zhu et al., 2002; Yang &amp; Peiyang, 2013)","plainTextFormattedCitation":"(Shane, 2000; Yang &amp; Peiyang, 2013; Zhu et al., 2002)","previouslyFormattedCitation":"(Shane, 2000; Yang &amp; Peiyang, 2013; Zhu et al., 2002)"},"properties":{"noteIndex":0},"schema":"https://github.com/citation-style-language/schema/raw/master/csl-citation.json"}</w:instrText>
      </w:r>
      <w:r>
        <w:fldChar w:fldCharType="separate"/>
      </w:r>
      <w:r>
        <w:rPr>
          <w:lang w:eastAsia="zh-CN"/>
        </w:rPr>
        <w:t>(Shane, 2000; Zhu et al., 2002; Yang &amp; Peiyang, 2013)</w:t>
      </w:r>
      <w:r>
        <w:fldChar w:fldCharType="end"/>
      </w:r>
      <w:r>
        <w:t xml:space="preserve">. </w:t>
      </w:r>
      <w:r>
        <w:fldChar w:fldCharType="begin" w:fldLock="1"/>
      </w:r>
      <w:r>
        <w:instrText>ADDIN CSL_CITATION {"citationItems":[{"id":"ITEM-1","itemData":{"DOI":"10.1080/09537325.2013.850155","ISSN":"09537325","abstract":"Technology opportunities analysis (TOA) can support policy-makers or managers in making strategic technical decisions so as to enhance their technological innovation capability and international competitiveness. This paper presents a multi-level framework to support and systematically identify technological opportunities. Patent data as a key component of technology innovation are used to enable TOA within the framework in the present research. At the research and development (R&amp;D) level, we anticipate the directions of technology development based on technology morphology. Countries' development emphases can also be investigated in order to help identify their R&amp;D strengths and weaknesses and to seek promising development pathways. At the level of competition, we devise the assignee-technology analysis to obtain insight into competitive participants' technical emphases and intents. It is also used to explore possible collaboration opportunities among them. At the market level, we apply patent family analysis to understand countries' target markets and to assess prospects for the commercialisation of their technology. We pursue TOA to explore China's opportunities and challenges in dye-sensitised solar cells. The empirical case analysis supports the effectiveness of the TOA model. We believe it can be adapted well to fit other emerging technologies. © 2013 Taylor &amp; Francis.","author":[{"dropping-particle":"","family":"Ma","given":"Tingting","non-dropping-particle":"","parse-names":false,"suffix":""},{"dropping-particle":"","family":"Porter","given":"Alan L.","non-dropping-particle":"","parse-names":false,"suffix":""},{"dropping-particle":"","family":"Guo","given":"Ying","non-dropping-particle":"","parse-names":false,"suffix":""},{"dropping-particle":"","family":"Ready","given":"Jud","non-dropping-particle":"","parse-names":false,"suffix":""},{"dropping-particle":"","family":"Xu","given":"Chen","non-dropping-particle":"","parse-names":false,"suffix":""},{"dropping-particle":"","family":"Gao","given":"Lidan","non-dropping-particle":"","parse-names":false,"suffix":""}],"container-title":"Technology Analysis and Strategic Management","id":"ITEM-1","issued":{"date-parts":[["2014"]]},"title":"A technology opportunities analysis model: applied to dye-sensitised solar cells for China","type":"article-journal"},"uris":["http://www.mendeley.com/documents/?uuid=0fc300a4-bda5-4d52-8c9d-5b43fd99fc17"]}],"mendeley":{"formattedCitation":"(Ma et al., 2014)","manualFormatting":"Ma et al. (2014)","plainTextFormattedCitation":"(Ma et al., 2014)","previouslyFormattedCitation":"(Ma et al., 2014)"},"properties":{"noteIndex":0},"schema":"https://github.com/citation-style-language/schema/raw/master/csl-citation.json"}</w:instrText>
      </w:r>
      <w:r>
        <w:fldChar w:fldCharType="separate"/>
      </w:r>
      <w:r>
        <w:rPr>
          <w:lang w:eastAsia="zh-CN"/>
        </w:rPr>
        <w:t>Ma et al. (2014)</w:t>
      </w:r>
      <w:r>
        <w:fldChar w:fldCharType="end"/>
      </w:r>
      <w:r>
        <w:t xml:space="preserve"> defined technology opportunity as new technology forms that emerged from the existing technologies in a specific field during technology development.</w:t>
      </w:r>
    </w:p>
    <w:p w:rsidR="00025F43" w:rsidRDefault="0088513D">
      <w:pPr>
        <w:pStyle w:val="bulletitem"/>
      </w:pPr>
      <w:r>
        <w:t xml:space="preserve">Methodology </w:t>
      </w:r>
      <w:r>
        <w:rPr>
          <w:rFonts w:hint="eastAsia"/>
          <w:lang w:eastAsia="zh-CN"/>
        </w:rPr>
        <w:t>and</w:t>
      </w:r>
      <w:r>
        <w:t xml:space="preserve"> indicators. </w:t>
      </w:r>
      <w:r>
        <w:fldChar w:fldCharType="begin" w:fldLock="1"/>
      </w:r>
      <w:r>
        <w:instrText>ADDIN CSL_CITATION {"citationItems":[{"id":"ITEM-1","itemData":{"DOI":"10.1111/j.1467-9310.2007.00493.x","ISSN":"00336807","abstract":"The practice of technology roadmapping (TRM) has received much attention from researchers and practitioners, to support planning and forecasting in companies and sectors. However, little research has focused on the support of well-organized information for more effective roadmapping and the presentation of in-depth configurations of new products or technology. This paper proposes a roadmapping methodology to assist decision-making by applying a systematic approach based on quantitative data. To this end, key information is extracted from documents such as product manuals and patent documents by text mining, which is then used to identify the morphology of existing products and technology. Morphology analysis (MA) also plays a crucial role in deriving promising opportunities for new development of product or technology by matching product and technology morphology. Therefore, MA-based TRM can enable the effective exploitation of large quantities of significant information that might otherwise be left untapped, supporting innovation by generating a comprehensive set of detailed product and technology configurations. The proposed MA-based TRM approach can be applied to both incremental and radical innovation, supporting both market pull and technology push. The method is illustrated with a detailed example for mobile phones to demonstrate its practical application. © 2008 Blackwell Publishing Ltd.","author":[{"dropping-particle":"","family":"Yoon","given":"Byungun","non-dropping-particle":"","parse-names":false,"suffix":""},{"dropping-particle":"","family":"Phaal","given":"Rob","non-dropping-particle":"","parse-names":false,"suffix":""},{"dropping-particle":"","family":"Probert","given":"David","non-dropping-particle":"","parse-names":false,"suffix":""}],"container-title":"R and D Management","id":"ITEM-1","issued":{"date-parts":[["2008"]]},"title":"Morphology analysis for technology roadmapping: Application of text mining","type":"article-journal"},"uris":["http://www.mendeley.com/documents/?uuid=d28230a8-da92-42cb-a17c-49ee6df74849"]}],"mendeley":{"formattedCitation":"(Yoon et al., 2008)","manualFormatting":"Yoon et al. (2008)","plainTextFormattedCitation":"(Yoon et al., 2008)","previouslyFormattedCitation":"(Yoon et al., 2008)"},"properties":{"noteIndex":0},"schema":"https://github.com/citation-style-language/schema/raw/master/csl-citation.json"}</w:instrText>
      </w:r>
      <w:r>
        <w:fldChar w:fldCharType="separate"/>
      </w:r>
      <w:r>
        <w:rPr>
          <w:lang w:eastAsia="zh-CN"/>
        </w:rPr>
        <w:t>Yoon et al. (2008)</w:t>
      </w:r>
      <w:r>
        <w:fldChar w:fldCharType="end"/>
      </w:r>
      <w:r>
        <w:t xml:space="preserve"> proposed a morphological analysis based on keywords, using patent data to identify technology gaps as technology opportunities. </w:t>
      </w:r>
      <w:r>
        <w:fldChar w:fldCharType="begin" w:fldLock="1"/>
      </w:r>
      <w:r>
        <w:instrText>ADDIN CSL_CITATION {"citationItems":[{"id":"ITEM-1","itemData":{"DOI":"10.1016/j.technovation.2008.10.006","ISSN":"01664972","abstract":"This paper proposes an approach for creating and utilizing keyword-based patent maps for use in new technology creation activity. The proposed approach comprises the following sub-modules. First, text mining is used to transform patent documents into structured data to identify keyword vectors. Second, principal component analysis is employed to reduce the numbers of keyword vectors to make suitable for use on a two-dimensional map. Third, patent 'vacancies', defined as blank areas in the map that are sparse in patent density but large in size, are identified. The validity of the vacancy is then tested against such criteria as technological criticality and technological trends. If a vacancy is judged as meaningful, its technological features are investigated in detail to identify the potential for new technology creation. The procedure of the proposed approach is described in detail by employing an illustrative patent database and is implemented into an expert system for new technology creation. © 2008 Elsevier Ltd. All rights reserved.","author":[{"dropping-particle":"","family":"Lee","given":"Sungjoo","non-dropping-particle":"","parse-names":false,"suffix":""},{"dropping-particle":"","family":"Yoon","given":"Byungun","non-dropping-particle":"","parse-names":false,"suffix":""},{"dropping-particle":"","family":"Park","given":"Yongtae","non-dropping-particle":"","parse-names":false,"suffix":""}],"container-title":"Technovation","id":"ITEM-1","issued":{"date-parts":[["2009"]]},"title":"An approach to discovering new technology opportunities: Keyword-based patent map approach","type":"article-journal"},"uris":["http://www.mendeley.com/documents/?uuid=ce711017-dd25-4314-981d-17bb5e34c769"]}],"mendeley":{"formattedCitation":"(S. Lee et al., 2009)","manualFormatting":"Lee et al. (2009)","plainTextFormattedCitation":"(S. Lee et al., 2009)","previouslyFormattedCitation":"(S. Lee et al., 2009)"},"properties":{"noteIndex":0},"schema":"https://github.com/citation-style-language/schema/raw/master/csl-citation.json"}</w:instrText>
      </w:r>
      <w:r>
        <w:fldChar w:fldCharType="separate"/>
      </w:r>
      <w:r>
        <w:rPr>
          <w:lang w:eastAsia="zh-CN"/>
        </w:rPr>
        <w:t>Lee et al. (2009)</w:t>
      </w:r>
      <w:r>
        <w:fldChar w:fldCharType="end"/>
      </w:r>
      <w:r>
        <w:rPr>
          <w:color w:val="FF0000"/>
        </w:rPr>
        <w:t xml:space="preserve"> </w:t>
      </w:r>
      <w:r>
        <w:t xml:space="preserve">used a combination of Principal Component Analysis and keyword-based patent maps to identify technology opportunities in the map </w:t>
      </w:r>
      <w:r>
        <w:rPr>
          <w:rFonts w:hint="eastAsia"/>
          <w:lang w:eastAsia="zh-CN"/>
        </w:rPr>
        <w:t>gaps</w:t>
      </w:r>
      <w:r>
        <w:t xml:space="preserve">. </w:t>
      </w:r>
      <w:r>
        <w:fldChar w:fldCharType="begin" w:fldLock="1"/>
      </w:r>
      <w:r>
        <w:instrText>ADDIN CSL_CITATION {"citationItems":[{"id":"ITEM-1","itemData":{"DOI":"10.1016/j.techfore.2014.07.008","ISSN":"00401625","abstract":"The interaction between scientific and technological knowledge facilitates exploration of new technological opportunities; however, gaps between them typically impede exploration of these opportunities. Scientific papers and technological patents record modern and advanced knowledge in scientific discovery and technological development; therefore, comparing their statuses can identify the gaps and explore potential technological opportunities. Because microalgal biofuels are a promising alternative energy resource devoid of territorial land use problems, this study applies text mining and an algorithm that can cluster objects of high-dimensional data to microalgal biofuel papers and patents, and explores their potential technological opportunities. The results demonstrate that a text-based clustering approach is appropriate for identifying scientific and technological applications for microalgal biofuels. The results indicate that microalgal photosynthesis and light utilization have abundant scientific outcomes for technological engineers to potentially apply. Technological opportunities exist in synthesis, harvesting, extraction, and lipid conversion. Scientific knowledge underlying biofuels accompanying high-value co-products of production require sustained exploration and reporting through research. These needs represent potential technological opportunities.","author":[{"dropping-particle":"","family":"Wang","given":"Ming Yeu","non-dropping-particle":"","parse-names":false,"suffix":""},{"dropping-particle":"","family":"Fang","given":"Shih Chieh","non-dropping-particle":"","parse-names":false,"suffix":""},{"dropping-particle":"","family":"Chang","given":"Yu Hsuan","non-dropping-particle":"","parse-names":false,"suffix":""}],"container-title":"Technological Forecasting and Social Change","id":"ITEM-1","issued":{"date-parts":[["2015"]]},"title":"Exploring technological opportunities by mining the gaps between science and technology: Microalgal biofuels","type":"article-journal"},"uris":["http://www.mendeley.com/documents/?uuid=2fa480e6-f828-4812-8d7c-1ba7f54e6606"]}],"mendeley":{"formattedCitation":"(M. Y. Wang et al., 2015)","manualFormatting":"Wang et al. (2015)","plainTextFormattedCitation":"(M. Y. Wang et al., 2015)","previouslyFormattedCitation":"(M. Y. Wang et al., 2015)"},"properties":{"noteIndex":0},"schema":"https://github.com/citation-style-language/schema/raw/master/csl-citation.json"}</w:instrText>
      </w:r>
      <w:r>
        <w:fldChar w:fldCharType="separate"/>
      </w:r>
      <w:r>
        <w:rPr>
          <w:lang w:eastAsia="zh-CN"/>
        </w:rPr>
        <w:t>Wang et al. (2015)</w:t>
      </w:r>
      <w:r>
        <w:fldChar w:fldCharType="end"/>
      </w:r>
      <w:r>
        <w:t xml:space="preserve"> applied text mining and a high-dimensional data object clustering to papers and patent</w:t>
      </w:r>
      <w:r>
        <w:rPr>
          <w:rFonts w:hint="eastAsia"/>
          <w:lang w:eastAsia="zh-CN"/>
        </w:rPr>
        <w:t>s</w:t>
      </w:r>
      <w:r>
        <w:rPr>
          <w:lang w:eastAsia="zh-CN"/>
        </w:rPr>
        <w:t>,</w:t>
      </w:r>
      <w:r>
        <w:t xml:space="preserve"> exploring technology opportunities by mining the gaps between science and technology. </w:t>
      </w:r>
      <w:r>
        <w:fldChar w:fldCharType="begin" w:fldLock="1"/>
      </w:r>
      <w:r>
        <w:instrText>ADDIN CSL_CITATION {"citationItems":[{"id":"ITEM-1","itemData":{"DOI":"10.1109/TEM.2016.2580619","ISSN":"00189391","abstract":"Effectively ranking patents in outlierness in a patent citation network is a crucial task for patent analysis, including as it relates to technological opportunity discovery (TOD). Previous studies in the area of TOD focus on patent textual data. In this paper, we introduce a new approach that addresses TOD via patent outlierness, leveraging both patent attributes and citations. We propose the following characteristics for patent outliers: 1) not highly clustered with other patents; 2) low node centrality within the citation network; and 3) low similarity to other patents in the network. Existing outlier ranking approaches have the drawback of not leveraging the unique characteristics of attributed patent citation networks. We propose new outlier ranking methods developed specifically for patents in attributed patent citation networks. Attribute data independently describe a patent, while citation network data relate patents to each other, thus capturing patent outlierness from two different aspects. The contributions of this paper are, given an attributed patent citation network: 1) patent clustering algorithm, and 2) method for scoring and ranking patents in outlierness. Developed methods are validated using artificial datasets. Proposed outlier ranking methods are evaluated using U.S. patents in the area of digital information and security.","author":[{"dropping-particle":"","family":"Rodriguez","given":"Andrew","non-dropping-particle":"","parse-names":false,"suffix":""},{"dropping-particle":"","family":"Tosyali","given":"Ali","non-dropping-particle":"","parse-names":false,"suffix":""},{"dropping-particle":"","family":"Kim","given":"Byunghoon","non-dropping-particle":"","parse-names":false,"suffix":""},{"dropping-particle":"","family":"Choi","given":"Jeongsub","non-dropping-particle":"","parse-names":false,"suffix":""},{"dropping-particle":"","family":"Lee","given":"Jae Min","non-dropping-particle":"","parse-names":false,"suffix":""},{"dropping-particle":"","family":"Coh","given":"Byoung Youl","non-dropping-particle":"","parse-names":false,"suffix":""},{"dropping-particle":"","family":"Jeong","given":"Myong K.","non-dropping-particle":"","parse-names":false,"suffix":""}],"container-title":"IEEE Transactions on Engineering Management","id":"ITEM-1","issued":{"date-parts":[["2016"]]},"title":"Patent Clustering and Outlier Ranking Methodologies for Attributed Patent Citation Networks for Technology Opportunity Discovery","type":"article-journal"},"uris":["http://www.mendeley.com/documents/?uuid=a4764e55-a0b7-4e2e-8131-b0fbe86be806"]}],"mendeley":{"formattedCitation":"(Rodriguez et al., 2016)","manualFormatting":"Rodriguez et al. (2016)","plainTextFormattedCitation":"(Rodriguez et al., 2016)","previouslyFormattedCitation":"(Rodriguez et al., 2016)"},"properties":{"noteIndex":0},"schema":"https://github.com/citation-style-language/schema/raw/master/csl-citation.json"}</w:instrText>
      </w:r>
      <w:r>
        <w:fldChar w:fldCharType="separate"/>
      </w:r>
      <w:r>
        <w:rPr>
          <w:lang w:eastAsia="zh-CN"/>
        </w:rPr>
        <w:t>Rodriguez et al. (2016)</w:t>
      </w:r>
      <w:r>
        <w:fldChar w:fldCharType="end"/>
      </w:r>
      <w:r>
        <w:t xml:space="preserve"> discover</w:t>
      </w:r>
      <w:r w:rsidR="00567866">
        <w:t>ed</w:t>
      </w:r>
      <w:r>
        <w:t xml:space="preserve"> technology opportunity by ranking patent outliers, identifying patent anomalies and patent attributes and citations. </w:t>
      </w:r>
      <w:r>
        <w:fldChar w:fldCharType="begin" w:fldLock="1"/>
      </w:r>
      <w:r>
        <w:instrText>ADDIN CSL_CITATION {"citationItems":[{"id":"ITEM-1","itemData":{"DOI":"10.1007/s11192-017-2260-y","ISSN":"15882861","abstract":"Increasingly complex competitive environments drive corporations in almost all industries to conduct omnibearing innovation activities to enhance their technological innovation capability and international competitiveness. Against this background, we propose subject–action–object (SAO) based morphological analysis to identify technology opportunities by detecting prioritized combinations within the morphology matrix. SAO structures emphasize the key concepts with provision of diverse technology information based on semantic relationships. The combination of SAO semantic structures can support the establishment of matrix, which consists of two dimensions: compositions and properties of technology. Later, novel indicators are used to evaluate the subsequent technological feasibility of each new configuration under a customized analysis and prior combinations aided by a high score can be identified. We apply this method to the case of dye-sensitized solar cells (DSSCs) in patents documents. The approach holds promise to strengthen information support systems for commercial enterprises in technical innovation and market innovation activities. We believe the analysis can be adapted well to fit other technologies, especially in their emerging stage.","author":[{"dropping-particle":"","family":"Wang","given":"Xuefeng","non-dropping-particle":"","parse-names":false,"suffix":""},{"dropping-particle":"","family":"Ma","given":"Pingping","non-dropping-particle":"","parse-names":false,"suffix":""},{"dropping-particle":"","family":"Huang","given":"Ying","non-dropping-particle":"","parse-names":false,"suffix":""},{"dropping-particle":"","family":"Guo","given":"Junfang","non-dropping-particle":"","parse-names":false,"suffix":""},{"dropping-particle":"","family":"Zhu","given":"Donghua","non-dropping-particle":"","parse-names":false,"suffix":""},{"dropping-particle":"","family":"Porter","given":"Alan L.","non-dropping-particle":"","parse-names":false,"suffix":""},{"dropping-particle":"","family":"Wang","given":"Zhinan","non-dropping-particle":"","parse-names":false,"suffix":""}],"container-title":"Scientometrics","id":"ITEM-1","issued":{"date-parts":[["2017"]]},"title":"Combining SAO semantic analysis and morphology analysis to identify technology opportunities","type":"article-journal"},"uris":["http://www.mendeley.com/documents/?uuid=3fd2940b-7afb-4cc3-843b-216fbf524301"]}],"mendeley":{"formattedCitation":"(X. Wang et al., 2017)","manualFormatting":"Wang et al. (2017)","plainTextFormattedCitation":"(X. Wang et al., 2017)","previouslyFormattedCitation":"(X. Wang et al., 2017)"},"properties":{"noteIndex":0},"schema":"https://github.com/citation-style-language/schema/raw/master/csl-citation.json"}</w:instrText>
      </w:r>
      <w:r>
        <w:fldChar w:fldCharType="separate"/>
      </w:r>
      <w:r>
        <w:rPr>
          <w:lang w:eastAsia="zh-CN"/>
        </w:rPr>
        <w:t>Wang et al. (2017)</w:t>
      </w:r>
      <w:r>
        <w:fldChar w:fldCharType="end"/>
      </w:r>
      <w:r>
        <w:t xml:space="preserve"> proposed a morphological analysis based on the Subject-Action-Object structure and morphological matrix. </w:t>
      </w:r>
      <w:r>
        <w:fldChar w:fldCharType="begin" w:fldLock="1"/>
      </w:r>
      <w:r>
        <w:instrText>ADDIN CSL_CITATION {"citationItems":[{"id":"ITEM-1","itemData":{"DOI":"10.1016/j.technovation.2020.102140","ISSN":"01664972","abstract":"Technology opportunity analysis has been the subject of many prior studies, although most of them have focused on discovering new technology ideas in a single narrow domain. This study proposes a product landscape analysis to identify product areas (i.e., potential technology opportunities) across multiple domains that firms can enter based on the technological capabilities embodied in their existing products. First, text mining is used to construct an integrated patent-product database from the United States patent and trademark database. Second, word2vec is employed to construct a product landscape as a vector space model where products with similar technological bases are located close to each other while maintaining the technological relationships. Third, given a product of interest, potential technology opportunities are identified via (1) automatic opportunity analysis that identifies product areas with technological bases similar to those of the product; and (2) interactive opportunity analysis that finds product areas based on experts’ queries modifying the technological bases of the product (i.e., addition and subtraction). Finally, ten quantitative indexes are developed to explore the implications of the potential technology opportunities identified. The case study covering 3,016,315 patents and 160,832 products confirms that the proposed approach is valuable as a creativity support tool for technology opportunity analysis in the era of convergence.","author":[{"dropping-particle":"","family":"Lee","given":"Changyong","non-dropping-particle":"","parse-names":false,"suffix":""},{"dropping-particle":"","family":"Jeon","given":"Daeseong","non-dropping-particle":"","parse-names":false,"suffix":""},{"dropping-particle":"","family":"Ahn","given":"Joon Mo","non-dropping-particle":"","parse-names":false,"suffix":""},{"dropping-particle":"","family":"Kwon","given":"Ohjin","non-dropping-particle":"","parse-names":false,"suffix":""}],"container-title":"Technovation","id":"ITEM-1","issued":{"date-parts":[["2020"]]},"title":"Navigating a product landscape for technology opportunity analysis: A word2vec approach using an integrated patent-product database","type":"article-journal"},"uris":["http://www.mendeley.com/documents/?uuid=d39e091b-f437-4e4d-8a8c-e559954ac1d8"]}],"mendeley":{"formattedCitation":"(C. Lee et al., 2020)","manualFormatting":"Lee et al. (2020)","plainTextFormattedCitation":"(C. Lee et al., 2020)","previouslyFormattedCitation":"(C. Lee et al., 2020)"},"properties":{"noteIndex":0},"schema":"https://github.com/citation-style-language/schema/raw/master/csl-citation.json"}</w:instrText>
      </w:r>
      <w:r>
        <w:fldChar w:fldCharType="separate"/>
      </w:r>
      <w:r>
        <w:rPr>
          <w:lang w:eastAsia="zh-CN"/>
        </w:rPr>
        <w:t>Lee et al. (2020)</w:t>
      </w:r>
      <w:r>
        <w:fldChar w:fldCharType="end"/>
      </w:r>
      <w:r>
        <w:t xml:space="preserve"> use</w:t>
      </w:r>
      <w:r>
        <w:rPr>
          <w:rFonts w:hint="eastAsia"/>
          <w:lang w:eastAsia="zh-CN"/>
        </w:rPr>
        <w:t>d</w:t>
      </w:r>
      <w:r>
        <w:t xml:space="preserve"> the word2vec method to navigate product landscape analysis to identify potential technology opportunities.</w:t>
      </w:r>
    </w:p>
    <w:p w:rsidR="00025F43" w:rsidRDefault="0088513D">
      <w:pPr>
        <w:pStyle w:val="bulletitem"/>
      </w:pPr>
      <w:r>
        <w:t xml:space="preserve">Empirical studies. </w:t>
      </w:r>
      <w:r>
        <w:fldChar w:fldCharType="begin" w:fldLock="1"/>
      </w:r>
      <w:r>
        <w:instrText>ADDIN CSL_CITATION {"citationItems":[{"id":"ITEM-1","itemData":{"DOI":"10.1016/j.techfore.2013.06.004","ISSN":"00401625","abstract":"Fuel cell technologies have long been recognized as one of the most promising future energy solutions. Nevertheless, major technological barriers hinder the potential realization of this clean energy source. Citation network analysis methodology is used here to identify major research trends, critical technological issues, and proposed resolutions to raise the effectiveness of investment of R&amp;D resources in fuel cell technology development.The main path analyses identify two research streams for the Proton-Exchange Membrane Fuel Cell (PEMFC) and Direct Methanol Fuel Cell (DMFC) technologies. Analyses of cited publications show that most of the technological barriers for PEMFC have been addressed and that performance has reached an acceptable level. On the other hand, DMFC still suffers from methanol and water crossover problems. Multiple main path analysis identifies specific research groups working on technological problems in DMFC. The Direct Formic Acid Fuel Cell (DFAFC) and Direct Ethanol Fuel Cell (DEFC) have recently emerged to address the toxicity of methanol, while DMFC performance is being enhanced through research on porous carbon plates, water transportation, and methanol concentrations, and the research group at Micro DMFC is applying fuel cells in electronics devices. Despite considerable research on Solid Oxide Fuel Cell (SOFC), its research stream does not appear in the main paths, most likely because of a broad divergence in research subjects. Growth curve analysis forecasts that fuel cell research is in the growth stage and will enter maturity in 2018. Although emerging technologies show advantages in performance and cost, the findings presented here can raise the effectiveness of critical research project selection, thus increasing the likelihood of success. © 2013 Elsevier Inc.","author":[{"dropping-particle":"","family":"Ho","given":"Jonathan C.","non-dropping-particle":"","parse-names":false,"suffix":""},{"dropping-particle":"","family":"Saw","given":"Ewe Chai","non-dropping-particle":"","parse-names":false,"suffix":""},{"dropping-particle":"","family":"Lu","given":"Louis Y.Y.","non-dropping-particle":"","parse-names":false,"suffix":""},{"dropping-particle":"","family":"Liu","given":"John S.","non-dropping-particle":"","parse-names":false,"suffix":""}],"container-title":"Technological Forecasting and Social Change","id":"ITEM-1","issued":{"date-parts":[["2014"]]},"title":"Technological barriers and research trends in fuel cell technologies: A citation network analysis","type":"article-journal"},"uris":["http://www.mendeley.com/documents/?uuid=5d212f51-b042-47e6-b946-ecc63abefd95"]}],"mendeley":{"formattedCitation":"(Ho et al., 2014)","manualFormatting":"Ho et al. (2014)","plainTextFormattedCitation":"(Ho et al., 2014)","previouslyFormattedCitation":"(Ho et al., 2014)"},"properties":{"noteIndex":0},"schema":"https://github.com/citation-style-language/schema/raw/master/csl-citation.json"}</w:instrText>
      </w:r>
      <w:r>
        <w:fldChar w:fldCharType="separate"/>
      </w:r>
      <w:r>
        <w:rPr>
          <w:lang w:eastAsia="zh-CN"/>
        </w:rPr>
        <w:t>Ho et al. (2014)</w:t>
      </w:r>
      <w:r>
        <w:fldChar w:fldCharType="end"/>
      </w:r>
      <w:r>
        <w:t xml:space="preserve"> summarized the main technological barriers and the corresponding potential solutions for Proton Exchange Membrane Fuel Cells and Direct Methanol Fuel Cells technologies. </w:t>
      </w:r>
      <w:r>
        <w:fldChar w:fldCharType="begin" w:fldLock="1"/>
      </w:r>
      <w:r>
        <w:instrText>ADDIN CSL_CITATION {"citationItems":[{"id":"ITEM-1","itemData":{"DOI":"10.1080/09537325.2013.850155","ISSN":"09537325","abstract":"Technology opportunities analysis (TOA) can support policy-makers or managers in making strategic technical decisions so as to enhance their technological innovation capability and international competitiveness. This paper presents a multi-level framework to support and systematically identify technological opportunities. Patent data as a key component of technology innovation are used to enable TOA within the framework in the present research. At the research and development (R&amp;D) level, we anticipate the directions of technology development based on technology morphology. Countries' development emphases can also be investigated in order to help identify their R&amp;D strengths and weaknesses and to seek promising development pathways. At the level of competition, we devise the assignee-technology analysis to obtain insight into competitive participants' technical emphases and intents. It is also used to explore possible collaboration opportunities among them. At the market level, we apply patent family analysis to understand countries' target markets and to assess prospects for the commercialisation of their technology. We pursue TOA to explore China's opportunities and challenges in dye-sensitised solar cells. The empirical case analysis supports the effectiveness of the TOA model. We believe it can be adapted well to fit other emerging technologies. © 2013 Taylor &amp; Francis.","author":[{"dropping-particle":"","family":"Ma","given":"Tingting","non-dropping-particle":"","parse-names":false,"suffix":""},{"dropping-particle":"","family":"Porter","given":"Alan L.","non-dropping-particle":"","parse-names":false,"suffix":""},{"dropping-particle":"","family":"Guo","given":"Ying","non-dropping-particle":"","parse-names":false,"suffix":""},{"dropping-particle":"","family":"Ready","given":"Jud","non-dropping-particle":"","parse-names":false,"suffix":""},{"dropping-particle":"","family":"Xu","given":"Chen","non-dropping-particle":"","parse-names":false,"suffix":""},{"dropping-particle":"","family":"Gao","given":"Lidan","non-dropping-particle":"","parse-names":false,"suffix":""}],"container-title":"Technology Analysis and Strategic Management","id":"ITEM-1","issued":{"date-parts":[["2014"]]},"title":"A technology opportunities analysis model: applied to dye-sensitised solar cells for China","type":"article-journal"},"uris":["http://www.mendeley.com/documents/?uuid=0fc300a4-bda5-4d52-8c9d-5b43fd99fc17"]}],"mendeley":{"formattedCitation":"(Ma et al., 2014)","manualFormatting":"Ma et al. (2014)","plainTextFormattedCitation":"(Ma et al., 2014)","previouslyFormattedCitation":"(Ma et al., 2014)"},"properties":{"noteIndex":0},"schema":"https://github.com/citation-style-language/schema/raw/master/csl-citation.json"}</w:instrText>
      </w:r>
      <w:r>
        <w:fldChar w:fldCharType="separate"/>
      </w:r>
      <w:r>
        <w:rPr>
          <w:lang w:eastAsia="zh-CN"/>
        </w:rPr>
        <w:t>Ma et al. (2014)</w:t>
      </w:r>
      <w:r>
        <w:fldChar w:fldCharType="end"/>
      </w:r>
      <w:r>
        <w:t xml:space="preserve"> proposed a TOA framework to analyze the technology opportunities in the dye-sensitized solar cells field. </w:t>
      </w:r>
      <w:r>
        <w:fldChar w:fldCharType="begin" w:fldLock="1"/>
      </w:r>
      <w:r>
        <w:instrText>ADDIN CSL_CITATION {"citationItems":[{"id":"ITEM-1","itemData":{"DOI":"10.1109/PICMET.2015.7273134","ISBN":"9781890843328","abstract":"Convergence essentially can be defined as at least two discernible entities moving toward union and is prominent in the ICT sector where combinations of different products and services have resulted in many meaningful innovations. Since convergence is triggered by knowledge convergence, we explore this phenomenon between cloud computing and big data by employing keyword co-occurrence analysis on scientific publications. Following that, this paper explores the case of Malaysia as cloud computing service sector has emerged and there is focus on adoption of big data. Subsequently, new opportunities for cloud service providers in Malaysia are derived from the result of knowledge convergence.","author":[{"dropping-particle":"","family":"Chan","given":"Siong Kiat","non-dropping-particle":"","parse-names":false,"suffix":""},{"dropping-particle":"","family":"Miyazaki","given":"Kumiko","non-dropping-particle":"","parse-names":false,"suffix":""}],"container-title":"Portland International Conference on Management of Engineering and Technology","id":"ITEM-1","issued":{"date-parts":[["2015"]]},"title":"Knowledge convergence between cloud computing and big data and analysis of emerging technological opportunities in Malaysia","type":"paper-conference"},"uris":["http://www.mendeley.com/documents/?uuid=be3484c5-26a8-49ee-8ee4-a3c19a83e7e4"]}],"mendeley":{"formattedCitation":"(Chan &amp; Miyazaki, 2015)","manualFormatting":"Chan and Miyazaki (2015)","plainTextFormattedCitation":"(Chan &amp; Miyazaki, 2015)","previouslyFormattedCitation":"(Chan &amp; Miyazaki, 2015)"},"properties":{"noteIndex":0},"schema":"https://github.com/citation-style-language/schema/raw/master/csl-citation.json"}</w:instrText>
      </w:r>
      <w:r>
        <w:fldChar w:fldCharType="separate"/>
      </w:r>
      <w:r>
        <w:rPr>
          <w:lang w:eastAsia="zh-CN"/>
        </w:rPr>
        <w:t>Chan and Miyazaki (2015)</w:t>
      </w:r>
      <w:r>
        <w:fldChar w:fldCharType="end"/>
      </w:r>
      <w:r>
        <w:t xml:space="preserve"> explore</w:t>
      </w:r>
      <w:r w:rsidR="00567866">
        <w:rPr>
          <w:rFonts w:hint="eastAsia"/>
          <w:lang w:eastAsia="zh-CN"/>
        </w:rPr>
        <w:t>d</w:t>
      </w:r>
      <w:r>
        <w:t xml:space="preserve"> the knowledge convergence between cloud computing and big data and appl</w:t>
      </w:r>
      <w:r w:rsidR="00567866">
        <w:t>ied</w:t>
      </w:r>
      <w:r>
        <w:t xml:space="preserve"> it to analyze </w:t>
      </w:r>
      <w:r w:rsidR="00567866">
        <w:t xml:space="preserve">Malaysia's emerging technology </w:t>
      </w:r>
      <w:r w:rsidR="00567866">
        <w:lastRenderedPageBreak/>
        <w:t>opportunities</w:t>
      </w:r>
      <w:r>
        <w:t xml:space="preserve">. </w:t>
      </w:r>
      <w:r>
        <w:fldChar w:fldCharType="begin" w:fldLock="1"/>
      </w:r>
      <w:r>
        <w:instrText>ADDIN CSL_CITATION {"citationItems":[{"id":"ITEM-1","itemData":{"DOI":"10.1007/s11192-020-03641-z","ISSN":"15882861","abstract":"In order to gain competitive advantage, technology opportunity detection in the latest and fast-growing areas has been becoming an important research issue. However, current research on technology opportunity detection is often focus on verifying the technology opportunities that have occurred, using the accumulated data from a specific field. Because of the time needed for data accumulation, these methods often have a substantial time lag and hard to early detect technology opportunities. It also leads to challenges to explore technology opportunities which still have not been covered in the current dataset. Moreover, phrase has more semantics than words but still rarely used and semantic represented in the process of technology opportunity detection. Therefore, this paper proposes a method based on analogy design and phrase semantic representation for early detection of technology opportunity. Firstly, the source field corresponding to target field for analogy design is carefully selected, thus indirectly expanding the data coverage of the target field through the data from the source field. Secondly, effect phrases in both source field and target field are automatically extracted by BiLSTM-CRF and semantic represented by representation learning, then the analogy relationships are established through topic clustering on overall data. Finally, the scores of the topics are calculated based on ODI (outcome-driven innovation) and the topics with a high score are considered as early detected technology opportunities. The proposed method is validated using analogy between 3G and 4G. In this process, 3G is used as the source and 4G patents published in the early stage are used as the target for detecting technology opportunities in 4G, and the rest 4G patents published in the later stage are used for detecting the actual evolution results of technology opportunities. The comparison results prove that every detected technology opportunity in the early stage matches one or more topics of the actual evolution results in the later stage. In addition, this paper uses analogy between 4G (source field) and 5G (target field) for technology opportunities prediction, which may provide useful and helpful results for decision making in 5G and a good example for further application in other areas. These results have proved that the proposed method is effective and useful. Simultaneously, this method is a preliminary research and still need to be further studied on other …","author":[{"dropping-particle":"","family":"Zhang","given":"Jinzhu","non-dropping-particle":"","parse-names":false,"suffix":""},{"dropping-particle":"","family":"Yu","given":"Wenqian","non-dropping-particle":"","parse-names":false,"suffix":""}],"container-title":"Scientometrics","id":"ITEM-1","issued":{"date-parts":[["2020"]]},"title":"Early detection of technology opportunity based on analogy design and phrase semantic representation","type":"article-journal"},"uris":["http://www.mendeley.com/documents/?uuid=6afe6962-d51d-4e86-a32a-48dca7257235"]}],"mendeley":{"formattedCitation":"(Zhang &amp; Yu, 2020)","manualFormatting":"Zhang and Yu (2020)","plainTextFormattedCitation":"(Zhang &amp; Yu, 2020)","previouslyFormattedCitation":"(Zhang &amp; Yu, 2020)"},"properties":{"noteIndex":0},"schema":"https://github.com/citation-style-language/schema/raw/master/csl-citation.json"}</w:instrText>
      </w:r>
      <w:r>
        <w:fldChar w:fldCharType="separate"/>
      </w:r>
      <w:r>
        <w:rPr>
          <w:lang w:eastAsia="zh-CN"/>
        </w:rPr>
        <w:t>Zhang and Yu (2020)</w:t>
      </w:r>
      <w:r>
        <w:fldChar w:fldCharType="end"/>
      </w:r>
      <w:r>
        <w:t xml:space="preserve"> conducted analogies between source and target domains to predict 5G technology opportunities. </w:t>
      </w:r>
    </w:p>
    <w:p w:rsidR="00025F43" w:rsidRDefault="0088513D">
      <w:r>
        <w:t>Most of the above research on TOA focuses on the patent analysis of emerging technologies, which have narrower meanings and limited development time. In this paper, we propose</w:t>
      </w:r>
      <w:r w:rsidR="007660D9">
        <w:rPr>
          <w:rFonts w:hint="eastAsia"/>
          <w:lang w:eastAsia="zh-CN"/>
        </w:rPr>
        <w:t>d</w:t>
      </w:r>
      <w:r>
        <w:t xml:space="preserve"> a technology opportunity identification framework that can be applied to a broader technology field by identifying the key technology topics and exploring the evolution of the technology. We detect</w:t>
      </w:r>
      <w:r w:rsidR="007660D9">
        <w:t>ed</w:t>
      </w:r>
      <w:r>
        <w:t xml:space="preserve"> technology opportunities from multiple dimensions to examine the technology opportunities holistic</w:t>
      </w:r>
      <w:r w:rsidR="00567866">
        <w:t>al</w:t>
      </w:r>
      <w:r>
        <w:t>ly.</w:t>
      </w:r>
    </w:p>
    <w:p w:rsidR="00025F43" w:rsidRDefault="0088513D">
      <w:r>
        <w:t>In recent years, Artificial Intelligence (AI) has successfully sparked great interest from all sectors of society. It is regarded as a current strategic high technology and a stalwart in leading disruptive industry changes in the future. The combination of AI and robots has made social productivity unprecedentedly magnified. Intelligent robots have huge development prospects and are used in diversified scenarios.</w:t>
      </w:r>
    </w:p>
    <w:p w:rsidR="00025F43" w:rsidRDefault="0088513D">
      <w:r>
        <w:t>Based on patent data of intelligent robots, we extract</w:t>
      </w:r>
      <w:r w:rsidR="007660D9">
        <w:rPr>
          <w:rFonts w:hint="eastAsia"/>
          <w:lang w:eastAsia="zh-CN"/>
        </w:rPr>
        <w:t>ed</w:t>
      </w:r>
      <w:r>
        <w:t xml:space="preserve"> terms and construct co-occurrence networks through text mining, apply community detection for technology clustering, then introduce an emerging topic measurement model and an emergent topic monitoring model to build a framework for identifying technology opportunities from three perspectives: R&amp;D trends, competitive environment, and technology layout. W</w:t>
      </w:r>
      <w:r>
        <w:rPr>
          <w:rFonts w:hint="eastAsia"/>
          <w:lang w:eastAsia="zh-CN"/>
        </w:rPr>
        <w:t>e</w:t>
      </w:r>
      <w:r>
        <w:t xml:space="preserve"> conduct</w:t>
      </w:r>
      <w:r w:rsidR="007660D9">
        <w:t>ed</w:t>
      </w:r>
      <w:r>
        <w:t xml:space="preserve"> an empirical study with the intelligent robots patents. We locate</w:t>
      </w:r>
      <w:r w:rsidR="007660D9">
        <w:t>d</w:t>
      </w:r>
      <w:r>
        <w:t xml:space="preserve"> intelligent robots' key technologies and reveal the overall pulse of emerging technology development using the framework, providing a useful reference for future emerging technologies' market layout and technology layout.</w:t>
      </w:r>
    </w:p>
    <w:p w:rsidR="00025F43" w:rsidRDefault="0088513D">
      <w:pPr>
        <w:pStyle w:val="heading1"/>
      </w:pPr>
      <w:r>
        <w:t>Framework and Methodology</w:t>
      </w:r>
    </w:p>
    <w:p w:rsidR="00025F43" w:rsidRDefault="0088513D">
      <w:pPr>
        <w:pStyle w:val="heading2"/>
        <w:tabs>
          <w:tab w:val="left" w:pos="567"/>
        </w:tabs>
        <w:spacing w:before="0"/>
      </w:pPr>
      <w:r>
        <w:t>Framework</w:t>
      </w:r>
    </w:p>
    <w:p w:rsidR="00025F43" w:rsidRDefault="0088513D">
      <w:pPr>
        <w:pStyle w:val="p1a"/>
      </w:pPr>
      <w:r>
        <w:t>Fig. 1 illustrated the framework of the research. First, we formulate</w:t>
      </w:r>
      <w:r w:rsidR="00567866">
        <w:t>d</w:t>
      </w:r>
      <w:r>
        <w:t xml:space="preserve"> the patent retrieval query and downloaded the patent documents from the </w:t>
      </w:r>
      <w:r w:rsidR="00567866" w:rsidRPr="00567866">
        <w:t xml:space="preserve">Derwent </w:t>
      </w:r>
      <w:r w:rsidR="00567866">
        <w:rPr>
          <w:rFonts w:hint="eastAsia"/>
          <w:lang w:eastAsia="zh-CN"/>
        </w:rPr>
        <w:t>W</w:t>
      </w:r>
      <w:r w:rsidR="00567866" w:rsidRPr="00567866">
        <w:t xml:space="preserve">orld </w:t>
      </w:r>
      <w:r w:rsidR="00567866">
        <w:t>P</w:t>
      </w:r>
      <w:r w:rsidR="00567866" w:rsidRPr="00567866">
        <w:t xml:space="preserve">atents </w:t>
      </w:r>
      <w:r w:rsidR="00567866">
        <w:t>I</w:t>
      </w:r>
      <w:r w:rsidR="00567866" w:rsidRPr="00567866">
        <w:t>ndex</w:t>
      </w:r>
      <w:r w:rsidR="00567866">
        <w:t xml:space="preserve"> (DWPI) </w:t>
      </w:r>
      <w:r>
        <w:t>database. Second, we used text analysis techniques to mine the patent data and extract terms from the patent titles that can characterize the terms' full meaning, including tokenization, POS tagging, stemming, lemmatization and merging terms with similar semantics. Third, after constructing the term co-occurrence network, we used the Leiden algorithm in the community detection to identify intelligent robots' key technology topics; we used the burst detection algorithm to perform topic evolution and hotspot identification of technical terms. Finally, based on the identified key technology topics, we use</w:t>
      </w:r>
      <w:r w:rsidR="00567866">
        <w:rPr>
          <w:rFonts w:hint="eastAsia"/>
          <w:lang w:eastAsia="zh-CN"/>
        </w:rPr>
        <w:t>d</w:t>
      </w:r>
      <w:r>
        <w:t xml:space="preserve"> the TOA framework to identify emerging technology opportunities from three perspectives: technology R&amp;D trends, competitive environment, and technology layout.</w:t>
      </w:r>
    </w:p>
    <w:p w:rsidR="00025F43" w:rsidRDefault="00327BA9">
      <w:pPr>
        <w:pStyle w:val="image"/>
      </w:pPr>
      <w:r>
        <w:rPr>
          <w:noProof/>
          <w:lang w:eastAsia="zh-CN"/>
        </w:rPr>
        <w:lastRenderedPageBreak/>
        <w:drawing>
          <wp:inline distT="0" distB="0" distL="0" distR="0">
            <wp:extent cx="4009286" cy="2700000"/>
            <wp:effectExtent l="0" t="0" r="0" b="5715"/>
            <wp:docPr id="1" name="图片 9"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Untitled Diagram (2)"/>
                    <pic:cNvPicPr>
                      <a:picLocks noChangeAspect="1" noChangeArrowheads="1"/>
                    </pic:cNvPicPr>
                  </pic:nvPicPr>
                  <pic:blipFill>
                    <a:blip r:embed="rId7" cstate="print">
                      <a:extLst>
                        <a:ext uri="{28A0092B-C50C-407E-A947-70E740481C1C}">
                          <a14:useLocalDpi xmlns:a14="http://schemas.microsoft.com/office/drawing/2010/main" val="0"/>
                        </a:ext>
                      </a:extLst>
                    </a:blip>
                    <a:srcRect b="6242"/>
                    <a:stretch>
                      <a:fillRect/>
                    </a:stretch>
                  </pic:blipFill>
                  <pic:spPr bwMode="auto">
                    <a:xfrm>
                      <a:off x="0" y="0"/>
                      <a:ext cx="4009286" cy="2700000"/>
                    </a:xfrm>
                    <a:prstGeom prst="rect">
                      <a:avLst/>
                    </a:prstGeom>
                    <a:noFill/>
                    <a:ln>
                      <a:noFill/>
                    </a:ln>
                  </pic:spPr>
                </pic:pic>
              </a:graphicData>
            </a:graphic>
          </wp:inline>
        </w:drawing>
      </w:r>
    </w:p>
    <w:p w:rsidR="00025F43" w:rsidRDefault="0088513D">
      <w:pPr>
        <w:pStyle w:val="figurecaption"/>
      </w:pPr>
      <w:r>
        <w:rPr>
          <w:b/>
        </w:rPr>
        <w:t xml:space="preserve">Fig. </w:t>
      </w:r>
      <w:r>
        <w:rPr>
          <w:b/>
        </w:rPr>
        <w:fldChar w:fldCharType="begin"/>
      </w:r>
      <w:r>
        <w:rPr>
          <w:b/>
        </w:rPr>
        <w:instrText xml:space="preserve"> SEQ "Figure" \* MERGEFORMAT </w:instrText>
      </w:r>
      <w:r>
        <w:rPr>
          <w:b/>
        </w:rPr>
        <w:fldChar w:fldCharType="separate"/>
      </w:r>
      <w:r w:rsidR="00327BA9" w:rsidRPr="00327BA9">
        <w:rPr>
          <w:b/>
          <w:noProof/>
          <w:lang w:eastAsia="zh-CN"/>
        </w:rPr>
        <w:t>1</w:t>
      </w:r>
      <w:r>
        <w:rPr>
          <w:b/>
        </w:rPr>
        <w:fldChar w:fldCharType="end"/>
      </w:r>
      <w:r>
        <w:rPr>
          <w:b/>
        </w:rPr>
        <w:t>.</w:t>
      </w:r>
      <w:r>
        <w:t xml:space="preserve">   Research Framework</w:t>
      </w:r>
    </w:p>
    <w:p w:rsidR="00025F43" w:rsidRDefault="0088513D">
      <w:pPr>
        <w:pStyle w:val="heading2"/>
        <w:tabs>
          <w:tab w:val="left" w:pos="567"/>
        </w:tabs>
      </w:pPr>
      <w:r>
        <w:t>Methodology</w:t>
      </w:r>
    </w:p>
    <w:p w:rsidR="00025F43" w:rsidRDefault="0088513D">
      <w:pPr>
        <w:pStyle w:val="3"/>
        <w:spacing w:before="0"/>
        <w:rPr>
          <w:rStyle w:val="heading3"/>
        </w:rPr>
      </w:pPr>
      <w:r>
        <w:rPr>
          <w:rStyle w:val="heading3"/>
          <w:rFonts w:hint="eastAsia"/>
        </w:rPr>
        <w:t>N</w:t>
      </w:r>
      <w:r>
        <w:rPr>
          <w:rStyle w:val="heading3"/>
        </w:rPr>
        <w:t xml:space="preserve">atural Language Processing. </w:t>
      </w:r>
    </w:p>
    <w:p w:rsidR="00025F43" w:rsidRDefault="0088513D">
      <w:pPr>
        <w:ind w:firstLine="0"/>
        <w:rPr>
          <w:lang w:eastAsia="zh-CN"/>
        </w:rPr>
      </w:pPr>
      <w:r>
        <w:rPr>
          <w:lang w:eastAsia="zh-CN"/>
        </w:rPr>
        <w:t xml:space="preserve">Natural language processing (NLP), an important research subject in computer science and artificial intelligence, mainly focuses on making computers understand natural human language. The Natural Language Toolkit (NLTK) package is a set of libraries and programs for NLP developed by </w:t>
      </w:r>
      <w:r>
        <w:rPr>
          <w:lang w:eastAsia="zh-CN"/>
        </w:rPr>
        <w:fldChar w:fldCharType="begin" w:fldLock="1"/>
      </w:r>
      <w:r>
        <w:rPr>
          <w:lang w:eastAsia="zh-CN"/>
        </w:rPr>
        <w:instrText>ADDIN CSL_CITATION {"citationItems":[{"id":"ITEM-1","itemData":{"DOI":"10.17509/ijal.v1i1.106","ISBN":"9780596516499","ISSN":"2301-9468","author":[{"dropping-particle":"","family":"Bird","given":"Steven","non-dropping-particle":"","parse-names":false,"suffix":""},{"dropping-particle":"","family":"Klein","given":"Ewan","non-dropping-particle":"","parse-names":false,"suffix":""},{"dropping-particle":"","family":"Loper","given":"Edward","non-dropping-particle":"","parse-names":false,"suffix":""}],"id":"ITEM-1","issued":{"date-parts":[["2009"]]},"publisher":"O’Reilly Media Inc","title":"Natural Language Processing with Python","type":"book"},"uris":["http://www.mendeley.com/documents/?uuid=fee997fa-e9e9-4c0e-90a3-bedd12775c85"]}],"mendeley":{"formattedCitation":"(Bird et al., 2009)","manualFormatting":"Bird et al. (2009)","plainTextFormattedCitation":"(Bird et al., 2009)","previouslyFormattedCitation":"(Bird et al., 2009)"},"properties":{"noteIndex":0},"schema":"https://github.com/citation-style-language/schema/raw/master/csl-citation.json"}</w:instrText>
      </w:r>
      <w:r>
        <w:rPr>
          <w:lang w:eastAsia="zh-CN"/>
        </w:rPr>
        <w:fldChar w:fldCharType="separate"/>
      </w:r>
      <w:r>
        <w:rPr>
          <w:lang w:eastAsia="zh-CN"/>
        </w:rPr>
        <w:t>Bird et al. (2009)</w:t>
      </w:r>
      <w:r>
        <w:rPr>
          <w:lang w:eastAsia="zh-CN"/>
        </w:rPr>
        <w:fldChar w:fldCharType="end"/>
      </w:r>
      <w:r>
        <w:rPr>
          <w:lang w:eastAsia="zh-CN"/>
        </w:rPr>
        <w:t>. We used the NLTK to process the patent titles, including tokenization, stopwords filtering, POS tagging, stemming, lemmatization. We extract</w:t>
      </w:r>
      <w:r w:rsidR="00E76262">
        <w:rPr>
          <w:lang w:eastAsia="zh-CN"/>
        </w:rPr>
        <w:t>ed</w:t>
      </w:r>
      <w:r>
        <w:rPr>
          <w:lang w:eastAsia="zh-CN"/>
        </w:rPr>
        <w:t xml:space="preserve"> n-gram terms from each patent title and performed fuzzy semantic merging of terms with similar semantics.</w:t>
      </w:r>
    </w:p>
    <w:p w:rsidR="00025F43" w:rsidRDefault="0088513D">
      <w:pPr>
        <w:pStyle w:val="3"/>
        <w:rPr>
          <w:rStyle w:val="heading3"/>
        </w:rPr>
      </w:pPr>
      <w:r>
        <w:rPr>
          <w:rStyle w:val="heading3"/>
        </w:rPr>
        <w:t xml:space="preserve">Community Detection. </w:t>
      </w:r>
    </w:p>
    <w:p w:rsidR="00025F43" w:rsidRDefault="0088513D">
      <w:pPr>
        <w:ind w:firstLine="0"/>
      </w:pPr>
      <w:r>
        <w:t xml:space="preserve">Community detection is used to understand the structure of large and complex networks. Many scholars have employed community </w:t>
      </w:r>
      <w:r>
        <w:rPr>
          <w:rFonts w:hint="eastAsia"/>
          <w:lang w:eastAsia="zh-CN"/>
        </w:rPr>
        <w:t>d</w:t>
      </w:r>
      <w:r>
        <w:t xml:space="preserve">etection in the identification of technology topics. Louvain algorithm by </w:t>
      </w:r>
      <w:r>
        <w:fldChar w:fldCharType="begin" w:fldLock="1"/>
      </w:r>
      <w:r>
        <w:instrText>ADDIN CSL_CITATION {"citationItems":[{"id":"ITEM-1","itemData":{"DOI":"10.1088/1742-5468/2008/10/P10008","ISSN":"17425468","abstract":"We propose a simple method to extract the community structure of large networks. Our method is a heuristic method that is based on modularity optimization. It is shown to outperform all other known community detection methods in terms of computation time. Moreover, the quality of the communities detected is very good, as measured by the so-called modularity. This is shown first by identifying language communities in a Belgian mobile phone network of 2 million customers and by analysing a web graph of 118 million nodes and more than one billion links. The accuracy of our algorithm is also verified on ad hoc modular networks. © 2008 IOP Publishing Ltd.","author":[{"dropping-particle":"","family":"Blondel","given":"Vincent D.","non-dropping-particle":"","parse-names":false,"suffix":""},{"dropping-particle":"","family":"Guillaume","given":"Jean Loup","non-dropping-particle":"","parse-names":false,"suffix":""},{"dropping-particle":"","family":"Lambiotte","given":"Renaud","non-dropping-particle":"","parse-names":false,"suffix":""},{"dropping-particle":"","family":"Lefebvre","given":"Etienne","non-dropping-particle":"","parse-names":false,"suffix":""}],"container-title":"Journal of Statistical Mechanics: Theory and Experiment","id":"ITEM-1","issued":{"date-parts":[["2008"]]},"title":"Fast unfolding of communities in large networks","type":"article-journal"},"uris":["http://www.mendeley.com/documents/?uuid=26042e3b-ab0b-44dd-8e4e-41caf445800d"]}],"mendeley":{"formattedCitation":"(Blondel et al., 2008)","manualFormatting":"Blondel et al. (2008)","plainTextFormattedCitation":"(Blondel et al., 2008)","previouslyFormattedCitation":"(Blondel et al., 2008)"},"properties":{"noteIndex":0},"schema":"https://github.com/citation-style-language/schema/raw/master/csl-citation.json"}</w:instrText>
      </w:r>
      <w:r>
        <w:fldChar w:fldCharType="separate"/>
      </w:r>
      <w:r>
        <w:rPr>
          <w:lang w:eastAsia="zh-CN"/>
        </w:rPr>
        <w:t>Blondel et al. (2008)</w:t>
      </w:r>
      <w:r>
        <w:fldChar w:fldCharType="end"/>
      </w:r>
      <w:r>
        <w:t xml:space="preserve"> as the representative hierarchical clustering algorithm is a commonly used community detection method. Louvain algorithm is recognized as one of the fastest non-overlapping community </w:t>
      </w:r>
      <w:r>
        <w:rPr>
          <w:rFonts w:hint="eastAsia"/>
          <w:lang w:eastAsia="zh-CN"/>
        </w:rPr>
        <w:t>d</w:t>
      </w:r>
      <w:r>
        <w:t xml:space="preserve">etection algorithms, </w:t>
      </w:r>
      <w:r w:rsidR="00E76262">
        <w:rPr>
          <w:rFonts w:hint="eastAsia"/>
          <w:lang w:eastAsia="zh-CN"/>
        </w:rPr>
        <w:t>but</w:t>
      </w:r>
      <w:r w:rsidR="00E76262">
        <w:t xml:space="preserve"> </w:t>
      </w:r>
      <w:r>
        <w:t xml:space="preserve">it may produce poorly connected communities. </w:t>
      </w:r>
      <w:r>
        <w:fldChar w:fldCharType="begin" w:fldLock="1"/>
      </w:r>
      <w:r>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Reports","id":"ITEM-1","issued":{"date-parts":[["2019"]]},"title":"From Louvain to Leiden: guaranteeing well-connected communities","type":"article-journal"},"uris":["http://www.mendeley.com/documents/?uuid=2ec92c7c-c80f-4317-9cca-6f51381c667a"]}],"mendeley":{"formattedCitation":"(Traag et al., 2019)","manualFormatting":"Traag et al. (2019)","plainTextFormattedCitation":"(Traag et al., 2019)","previouslyFormattedCitation":"(Traag et al., 2019)"},"properties":{"noteIndex":0},"schema":"https://github.com/citation-style-language/schema/raw/master/csl-citation.json"}</w:instrText>
      </w:r>
      <w:r>
        <w:fldChar w:fldCharType="separate"/>
      </w:r>
      <w:r>
        <w:rPr>
          <w:lang w:eastAsia="zh-CN"/>
        </w:rPr>
        <w:t>Traag et al. (2019)</w:t>
      </w:r>
      <w:r>
        <w:fldChar w:fldCharType="end"/>
      </w:r>
      <w:r>
        <w:t xml:space="preserve"> improved the Louvain algorithm and introduced the Leiden algorithm, ensuring a good connection between communities. We used the Leiden algorithm to conduct community </w:t>
      </w:r>
      <w:r>
        <w:rPr>
          <w:rFonts w:hint="eastAsia"/>
          <w:lang w:eastAsia="zh-CN"/>
        </w:rPr>
        <w:t>d</w:t>
      </w:r>
      <w:r>
        <w:t xml:space="preserve">etection on the co-occurrence network. We </w:t>
      </w:r>
      <w:r w:rsidR="00E76262">
        <w:t>obtained</w:t>
      </w:r>
      <w:r>
        <w:t xml:space="preserve"> clearer clusters based on word frequency and word contribution by removing some terms with little meaning from the co-occurrence matrix.</w:t>
      </w:r>
    </w:p>
    <w:p w:rsidR="00025F43" w:rsidRDefault="0088513D">
      <w:pPr>
        <w:pStyle w:val="3"/>
      </w:pPr>
      <w:r>
        <w:rPr>
          <w:rStyle w:val="heading3"/>
        </w:rPr>
        <w:lastRenderedPageBreak/>
        <w:t>Burst Detection</w:t>
      </w:r>
    </w:p>
    <w:p w:rsidR="00025F43" w:rsidRDefault="0088513D">
      <w:pPr>
        <w:ind w:firstLine="0"/>
      </w:pPr>
      <w:r>
        <w:t xml:space="preserve">In 2002, </w:t>
      </w:r>
      <w:r>
        <w:fldChar w:fldCharType="begin" w:fldLock="1"/>
      </w:r>
      <w:r>
        <w:instrText>ADDIN CSL_CITATION {"citationItems":[{"id":"ITEM-1","itemData":{"DOI":"10.1023/A:1024940629314","ISSN":"13845810","abstract":"A fundamental problem in text data mining is to extract meaningful structure from document streams that arrive continuously over time. E-mail and news articles are two natural examples of such streams, each characterized by topics that appear, grow in intensity for a period of time, and then fade away. The published literature in a particular research field can be seen to exhibit similar phenomena over a much longer time scale. Underlying much of the text mining work in this area is the following intuitive premise - that the appearance of a topic in a document stream is signaled by a \"burst of activity,\" with certain features rising sharply in frequency as the topic emerges. The goal of the present work is to develop a formal approach for modeling such \"bursts,\" in such a way that they can be robustly and efficiently identified, and can provide an organizational framework for analyzing the underlying content. The approach is based on modeling the stream using an infinite-state automaton, in which bursts appear naturally as state transitions; it can be viewed as drawing an analogy with models from queueing theory for bursty network traffic. The resulting algorithms are highly efficient, and yield a nested representation of the set of bursts that imposes a hierarchical structure on the overall stream. Experiments with e-mail and research paper archives suggest that the resulting structures have a natural meaning in terms of the content that gave rise to them.","author":[{"dropping-particle":"","family":"Kleinberg","given":"Jon","non-dropping-particle":"","parse-names":false,"suffix":""}],"container-title":"Data Mining and Knowledge Discovery","id":"ITEM-1","issued":{"date-parts":[["2003"]]},"title":"Bursty and Hierarchical Structure in Streams","type":"paper-conference"},"uris":["http://www.mendeley.com/documents/?uuid=6ce874fd-a09b-434b-90ea-eba3cd2e2555"]}],"mendeley":{"formattedCitation":"(Kleinberg, 2003)","manualFormatting":"Kleinberg (2003)","plainTextFormattedCitation":"(Kleinberg, 2003)","previouslyFormattedCitation":"(Kleinberg, 2003)"},"properties":{"noteIndex":0},"schema":"https://github.com/citation-style-language/schema/raw/master/csl-citation.json"}</w:instrText>
      </w:r>
      <w:r>
        <w:fldChar w:fldCharType="separate"/>
      </w:r>
      <w:r>
        <w:rPr>
          <w:lang w:eastAsia="zh-CN"/>
        </w:rPr>
        <w:t>Kleinberg (2003)</w:t>
      </w:r>
      <w:r>
        <w:fldChar w:fldCharType="end"/>
      </w:r>
      <w:r>
        <w:t xml:space="preserve"> proposed the Burst </w:t>
      </w:r>
      <w:r>
        <w:rPr>
          <w:lang w:eastAsia="zh-CN"/>
        </w:rPr>
        <w:t>D</w:t>
      </w:r>
      <w:r>
        <w:t>etection algorithm, which can identify the sudden increase or "burst" of terms' use frequency over time. Kleinberg use</w:t>
      </w:r>
      <w:r w:rsidR="00E76262">
        <w:t>d</w:t>
      </w:r>
      <w:r>
        <w:t xml:space="preserve"> text classification technology to classify documents that need to be detected. The classified documents are defined as a time-sensitive sequence according to their arrival time. When an event occurs in the real world, the </w:t>
      </w:r>
      <w:r w:rsidR="00E76262">
        <w:t>event's documents</w:t>
      </w:r>
      <w:r>
        <w:t xml:space="preserve"> increase, causin</w:t>
      </w:r>
      <w:r>
        <w:rPr>
          <w:rFonts w:hint="eastAsia"/>
          <w:lang w:eastAsia="zh-CN"/>
        </w:rPr>
        <w:t>g</w:t>
      </w:r>
      <w:r>
        <w:t xml:space="preserve"> time interval to become shorter. The state at this time is the Burst State, and the opposite is the Normal State. The change of time interval can detect the transition from the Normal State to the Burst State. In this way, the burst is defined as the transition between states, and detect the burst is to detect the time interval between the arrival of two documents. We used burst detection to identify bursts of term frequencies and obtain the burst hot technology topics in this paper.</w:t>
      </w:r>
    </w:p>
    <w:p w:rsidR="00025F43" w:rsidRPr="00E76262" w:rsidRDefault="0088513D" w:rsidP="00E76262">
      <w:pPr>
        <w:pStyle w:val="heading2"/>
        <w:tabs>
          <w:tab w:val="left" w:pos="567"/>
        </w:tabs>
      </w:pPr>
      <w:bookmarkStart w:id="0" w:name="_Toc12608"/>
      <w:bookmarkStart w:id="1" w:name="_Toc16772"/>
      <w:bookmarkEnd w:id="0"/>
      <w:bookmarkEnd w:id="1"/>
      <w:r w:rsidRPr="00E76262">
        <w:t>Data collection</w:t>
      </w:r>
      <w:r w:rsidR="004D07AC" w:rsidRPr="00E76262">
        <w:t xml:space="preserve">. </w:t>
      </w:r>
    </w:p>
    <w:p w:rsidR="00025F43" w:rsidRDefault="0088513D">
      <w:pPr>
        <w:pStyle w:val="p1a"/>
      </w:pPr>
      <w:r>
        <w:t>We collect</w:t>
      </w:r>
      <w:r w:rsidR="00E76262">
        <w:rPr>
          <w:rFonts w:hint="eastAsia"/>
          <w:lang w:eastAsia="zh-CN"/>
        </w:rPr>
        <w:t>ed</w:t>
      </w:r>
      <w:r>
        <w:t xml:space="preserve"> patent data from </w:t>
      </w:r>
      <w:r w:rsidR="00E76262">
        <w:rPr>
          <w:rFonts w:hint="eastAsia"/>
          <w:lang w:eastAsia="zh-CN"/>
        </w:rPr>
        <w:t>DWPI</w:t>
      </w:r>
      <w:r>
        <w:t>, which contains patent data from patent licensing agencies in over 100 countries and regions. It provides access to published patents and scientific literature worldwide.</w:t>
      </w:r>
    </w:p>
    <w:p w:rsidR="00025F43" w:rsidRDefault="00E76262">
      <w:r>
        <w:t>We</w:t>
      </w:r>
      <w:r w:rsidR="0088513D">
        <w:t xml:space="preserve"> initially formulat</w:t>
      </w:r>
      <w:r>
        <w:t>ed</w:t>
      </w:r>
      <w:r w:rsidR="0088513D">
        <w:t xml:space="preserve"> the retrieval query by reviewing relevant literature and consulting </w:t>
      </w:r>
      <w:r>
        <w:rPr>
          <w:rFonts w:hint="eastAsia"/>
          <w:lang w:eastAsia="zh-CN"/>
        </w:rPr>
        <w:t>domain</w:t>
      </w:r>
      <w:r>
        <w:t xml:space="preserve"> </w:t>
      </w:r>
      <w:r w:rsidR="0088513D">
        <w:t xml:space="preserve">experts; </w:t>
      </w:r>
      <w:r>
        <w:t>after</w:t>
      </w:r>
      <w:r w:rsidR="0088513D">
        <w:t xml:space="preserve"> repeated verification and justification, the final retrieval query was </w:t>
      </w:r>
      <w:r>
        <w:rPr>
          <w:rFonts w:hint="eastAsia"/>
          <w:lang w:eastAsia="zh-CN"/>
        </w:rPr>
        <w:t>set</w:t>
      </w:r>
      <w:r>
        <w:t xml:space="preserve"> as </w:t>
      </w:r>
      <w:r w:rsidR="0088513D">
        <w:t xml:space="preserve">follows: ABD=(((Autonomous OR Bio* OR Humanoid OR Smart OR Intelligent) ADJ2 Robot*) OR Bio-robot* OR Biorobot* OR (Robot* Cognit*) OR (Robot* Percept*) OR (Robot* Sens*) OR (Robot* Act*)). Considering the emergence of intelligent robot patents and the time lag between patent application and publication, </w:t>
      </w:r>
      <w:r>
        <w:t xml:space="preserve">we </w:t>
      </w:r>
      <w:r>
        <w:rPr>
          <w:rFonts w:hint="eastAsia"/>
          <w:lang w:eastAsia="zh-CN"/>
        </w:rPr>
        <w:t>set</w:t>
      </w:r>
      <w:r>
        <w:t xml:space="preserve"> the time interval</w:t>
      </w:r>
      <w:r w:rsidR="0088513D">
        <w:t xml:space="preserve"> from 1956 to 2018. A total of 10,433 intelligent robot-related patents were retrieved (the retrieval was conducted on 20 February 2020).</w:t>
      </w:r>
    </w:p>
    <w:p w:rsidR="00025F43" w:rsidRDefault="0088513D">
      <w:pPr>
        <w:pStyle w:val="heading1"/>
        <w:rPr>
          <w:lang w:eastAsia="zh-CN"/>
        </w:rPr>
      </w:pPr>
      <w:bookmarkStart w:id="2" w:name="_Toc7392"/>
      <w:bookmarkStart w:id="3" w:name="_Toc3301"/>
      <w:bookmarkStart w:id="4" w:name="_Toc24707"/>
      <w:bookmarkStart w:id="5" w:name="_Toc26954"/>
      <w:bookmarkEnd w:id="2"/>
      <w:bookmarkEnd w:id="3"/>
      <w:bookmarkEnd w:id="4"/>
      <w:bookmarkEnd w:id="5"/>
      <w:r>
        <w:t>Key Technologies Identification of Intelligent Robots</w:t>
      </w:r>
    </w:p>
    <w:p w:rsidR="00025F43" w:rsidRDefault="0088513D">
      <w:pPr>
        <w:pStyle w:val="heading2"/>
        <w:tabs>
          <w:tab w:val="left" w:pos="567"/>
        </w:tabs>
        <w:spacing w:before="0"/>
      </w:pPr>
      <w:r>
        <w:t xml:space="preserve">Clustering key </w:t>
      </w:r>
      <w:r>
        <w:rPr>
          <w:rFonts w:hint="eastAsia"/>
          <w:lang w:eastAsia="zh-CN"/>
        </w:rPr>
        <w:t>t</w:t>
      </w:r>
      <w:r>
        <w:t>echnological topics</w:t>
      </w:r>
    </w:p>
    <w:p w:rsidR="00025F43" w:rsidRDefault="0088513D">
      <w:pPr>
        <w:ind w:firstLine="0"/>
      </w:pPr>
      <w:r>
        <w:t xml:space="preserve">We extracted patent titles from </w:t>
      </w:r>
      <w:r w:rsidR="00E76262">
        <w:t xml:space="preserve">these </w:t>
      </w:r>
      <w:r>
        <w:t xml:space="preserve">intelligent robot patent documents, employed text mining, co-occurrence analysis, and community detection, and obtained 34 clusters, 33 of which are valid. We merged clusters sharing similar topics and finally got 16 topic clusters, as shown in Fig. </w:t>
      </w:r>
      <w:r w:rsidR="00E76262">
        <w:t>2</w:t>
      </w:r>
      <w:r>
        <w:t>.</w:t>
      </w:r>
    </w:p>
    <w:p w:rsidR="007660D9" w:rsidRDefault="007660D9" w:rsidP="007660D9">
      <w:pPr>
        <w:pStyle w:val="p1a"/>
        <w:ind w:firstLineChars="100" w:firstLine="200"/>
      </w:pPr>
      <w:r>
        <w:t xml:space="preserve">After manual analysis and interpretation, we obtained 16 key technologies: Humanoid Robot, Robot Joint, Mechanical Arm, Driving Mechanism, Sensor, Wireless Communication, Servo Motor, System Controller, Remote Control, Path Planning, Robot Voice, Robot Vision, Detection Mechanism, Robot Interaction, Robotic Fish, and Intelligent Robots for Different Usage (including Internet of Things Robots, Underwater Robots, Sweeping Robots, Welding robots, Painting robots, etc.). </w:t>
      </w:r>
    </w:p>
    <w:p w:rsidR="007660D9" w:rsidRDefault="007660D9">
      <w:pPr>
        <w:ind w:firstLine="0"/>
      </w:pPr>
    </w:p>
    <w:p w:rsidR="00025F43" w:rsidRDefault="00327BA9">
      <w:pPr>
        <w:pStyle w:val="image"/>
      </w:pPr>
      <w:bookmarkStart w:id="6" w:name="_Toc15514"/>
      <w:bookmarkStart w:id="7" w:name="_Toc21662"/>
      <w:bookmarkEnd w:id="6"/>
      <w:bookmarkEnd w:id="7"/>
      <w:r>
        <w:rPr>
          <w:noProof/>
          <w:lang w:eastAsia="zh-CN"/>
        </w:rPr>
        <w:lastRenderedPageBreak/>
        <w:drawing>
          <wp:inline distT="0" distB="0" distL="0" distR="0">
            <wp:extent cx="3025775" cy="1906905"/>
            <wp:effectExtent l="0" t="0" r="0" b="0"/>
            <wp:docPr id="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5775" cy="1906905"/>
                    </a:xfrm>
                    <a:prstGeom prst="rect">
                      <a:avLst/>
                    </a:prstGeom>
                    <a:noFill/>
                    <a:ln>
                      <a:noFill/>
                    </a:ln>
                  </pic:spPr>
                </pic:pic>
              </a:graphicData>
            </a:graphic>
          </wp:inline>
        </w:drawing>
      </w:r>
    </w:p>
    <w:p w:rsidR="00025F43" w:rsidRDefault="0088513D">
      <w:pPr>
        <w:pStyle w:val="figurecaption"/>
      </w:pPr>
      <w:r>
        <w:rPr>
          <w:b/>
        </w:rPr>
        <w:t xml:space="preserve">Fig. </w:t>
      </w:r>
      <w:r w:rsidR="00E76262">
        <w:rPr>
          <w:b/>
        </w:rPr>
        <w:t>2</w:t>
      </w:r>
      <w:r>
        <w:rPr>
          <w:b/>
        </w:rPr>
        <w:t>.</w:t>
      </w:r>
      <w:r>
        <w:t xml:space="preserve"> Clustering Visualization of Intelligent Robot Technologies</w:t>
      </w:r>
    </w:p>
    <w:p w:rsidR="00025F43" w:rsidRDefault="0088513D">
      <w:pPr>
        <w:pStyle w:val="heading2"/>
        <w:tabs>
          <w:tab w:val="left" w:pos="567"/>
        </w:tabs>
      </w:pPr>
      <w:bookmarkStart w:id="8" w:name="_Toc25766"/>
      <w:bookmarkStart w:id="9" w:name="_Toc31479"/>
      <w:bookmarkEnd w:id="8"/>
      <w:bookmarkEnd w:id="9"/>
      <w:r>
        <w:t>Tracing the topic evolution</w:t>
      </w:r>
    </w:p>
    <w:p w:rsidR="00025F43" w:rsidRDefault="0088513D">
      <w:pPr>
        <w:ind w:firstLine="0"/>
      </w:pPr>
      <w:bookmarkStart w:id="10" w:name="_Toc27961"/>
      <w:bookmarkStart w:id="11" w:name="_Toc423"/>
      <w:bookmarkEnd w:id="10"/>
      <w:bookmarkEnd w:id="11"/>
      <w:r>
        <w:t>We use</w:t>
      </w:r>
      <w:r w:rsidR="00E76262">
        <w:rPr>
          <w:rFonts w:hint="eastAsia"/>
          <w:lang w:eastAsia="zh-CN"/>
        </w:rPr>
        <w:t>d</w:t>
      </w:r>
      <w:r>
        <w:t xml:space="preserve"> burst detection algorithms to analyze the rough topic evolutionary lineage of intelligent robots over a </w:t>
      </w:r>
      <w:r w:rsidR="00E76262">
        <w:t>more extended</w:t>
      </w:r>
      <w:r>
        <w:t xml:space="preserve"> period of development. As shown in Fig. </w:t>
      </w:r>
      <w:r w:rsidR="00E76262">
        <w:t>3</w:t>
      </w:r>
      <w:r>
        <w:t>, we broadly divide</w:t>
      </w:r>
      <w:r w:rsidR="00E76262">
        <w:t>d</w:t>
      </w:r>
      <w:r>
        <w:t xml:space="preserve"> the evoluti</w:t>
      </w:r>
      <w:r w:rsidR="008B1451">
        <w:t>on into three time periods: 1979</w:t>
      </w:r>
      <w:r>
        <w:t>-1993, 1994-200</w:t>
      </w:r>
      <w:r>
        <w:rPr>
          <w:rFonts w:hint="eastAsia"/>
          <w:lang w:eastAsia="zh-CN"/>
        </w:rPr>
        <w:t>6</w:t>
      </w:r>
      <w:r>
        <w:t>, and 200</w:t>
      </w:r>
      <w:r>
        <w:rPr>
          <w:rFonts w:hint="eastAsia"/>
          <w:lang w:eastAsia="zh-CN"/>
        </w:rPr>
        <w:t>6</w:t>
      </w:r>
      <w:r w:rsidR="008B1451">
        <w:t>-2018. Between 1979</w:t>
      </w:r>
      <w:bookmarkStart w:id="12" w:name="_GoBack"/>
      <w:bookmarkEnd w:id="12"/>
      <w:r>
        <w:t xml:space="preserve"> and 1993, robots were centred on 'Industrial Robots,' which were mainly used in industrial manufacturing and were not yet characterized by intelligence; from 1993 onwards, 'Autonomous Mobile Robots' emerged</w:t>
      </w:r>
      <w:r w:rsidR="00E76262">
        <w:rPr>
          <w:rFonts w:hint="eastAsia"/>
          <w:lang w:eastAsia="zh-CN"/>
        </w:rPr>
        <w:t>,</w:t>
      </w:r>
      <w:r w:rsidR="00E76262">
        <w:rPr>
          <w:lang w:eastAsia="zh-CN"/>
        </w:rPr>
        <w:t xml:space="preserve"> which </w:t>
      </w:r>
      <w:r>
        <w:t>marked the beginning of the transition from powerful stationary machines to highly autonomous and complex mobile platforms. In 2002, the emergence of 'Pet Robots' signa</w:t>
      </w:r>
      <w:r w:rsidR="00E76262">
        <w:t>l</w:t>
      </w:r>
      <w:r>
        <w:t>led that robots were no longer only used in industrial scenarios but were beginning to participate in and change people's lives. It also meant that robots were becoming interactive</w:t>
      </w:r>
      <w:r w:rsidR="00E76262">
        <w:rPr>
          <w:lang w:eastAsia="zh-CN"/>
        </w:rPr>
        <w:t xml:space="preserve">, </w:t>
      </w:r>
      <w:r>
        <w:t>followed by the "Humanoid Robot" in 2004 and the "Intelligent Mobile Robot" in 2006 when robots became associated with "intelligence" for the first time.</w:t>
      </w:r>
    </w:p>
    <w:p w:rsidR="00025F43" w:rsidRDefault="00327BA9">
      <w:pPr>
        <w:pStyle w:val="11"/>
        <w:spacing w:before="80" w:after="40"/>
        <w:jc w:val="center"/>
        <w:rPr>
          <w:sz w:val="18"/>
          <w:szCs w:val="18"/>
        </w:rPr>
      </w:pPr>
      <w:bookmarkStart w:id="13" w:name="_Toc30845"/>
      <w:bookmarkStart w:id="14" w:name="_Toc25559"/>
      <w:bookmarkEnd w:id="13"/>
      <w:r>
        <w:rPr>
          <w:noProof/>
        </w:rPr>
        <w:drawing>
          <wp:inline distT="0" distB="0" distL="0" distR="0">
            <wp:extent cx="3561080" cy="1473835"/>
            <wp:effectExtent l="0" t="0" r="0" b="0"/>
            <wp:docPr id="4" name="Picture 4" descr="wp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s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1080" cy="1473835"/>
                    </a:xfrm>
                    <a:prstGeom prst="rect">
                      <a:avLst/>
                    </a:prstGeom>
                    <a:noFill/>
                    <a:ln>
                      <a:noFill/>
                    </a:ln>
                  </pic:spPr>
                </pic:pic>
              </a:graphicData>
            </a:graphic>
          </wp:inline>
        </w:drawing>
      </w:r>
      <w:bookmarkEnd w:id="14"/>
    </w:p>
    <w:p w:rsidR="00025F43" w:rsidRDefault="0088513D">
      <w:pPr>
        <w:pStyle w:val="figurecaption"/>
      </w:pPr>
      <w:r>
        <w:rPr>
          <w:b/>
        </w:rPr>
        <w:t xml:space="preserve">Fig. </w:t>
      </w:r>
      <w:r w:rsidR="00E76262">
        <w:rPr>
          <w:b/>
        </w:rPr>
        <w:t>3</w:t>
      </w:r>
      <w:r>
        <w:rPr>
          <w:b/>
        </w:rPr>
        <w:t>.</w:t>
      </w:r>
      <w:r>
        <w:t xml:space="preserve"> The Evolution of Intelligent Robot Technologies Topics</w:t>
      </w:r>
    </w:p>
    <w:p w:rsidR="00025F43" w:rsidRDefault="0088513D">
      <w:bookmarkStart w:id="15" w:name="_Toc15152"/>
      <w:bookmarkStart w:id="16" w:name="_Toc18030"/>
      <w:bookmarkEnd w:id="15"/>
      <w:bookmarkEnd w:id="16"/>
      <w:r>
        <w:t>The burst weights were calculated and ranked in descending order, and we selected the highest</w:t>
      </w:r>
      <w:r w:rsidR="00E76262">
        <w:t>-</w:t>
      </w:r>
      <w:r>
        <w:t>ranked topics that had not yet reached a steady-state as being related to burst hotspots of intelligent robots.</w:t>
      </w:r>
    </w:p>
    <w:p w:rsidR="00025F43" w:rsidRDefault="0088513D">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327BA9" w:rsidRPr="00327BA9">
        <w:rPr>
          <w:b/>
          <w:noProof/>
          <w:lang w:val="en-US" w:eastAsia="zh-CN"/>
        </w:rPr>
        <w:t>1</w:t>
      </w:r>
      <w:r>
        <w:rPr>
          <w:b/>
        </w:rPr>
        <w:fldChar w:fldCharType="end"/>
      </w:r>
      <w:r>
        <w:rPr>
          <w:b/>
        </w:rPr>
        <w:t>.</w:t>
      </w:r>
      <w:r>
        <w:t xml:space="preserve"> Burst Hotspots of Intelligent Robots</w:t>
      </w:r>
    </w:p>
    <w:tbl>
      <w:tblPr>
        <w:tblW w:w="4441" w:type="pct"/>
        <w:jc w:val="center"/>
        <w:tblBorders>
          <w:top w:val="single" w:sz="8" w:space="0" w:color="auto"/>
          <w:bottom w:val="single" w:sz="8" w:space="0" w:color="auto"/>
          <w:insideH w:val="single" w:sz="4" w:space="0" w:color="auto"/>
          <w:insideV w:val="single" w:sz="4" w:space="0" w:color="auto"/>
        </w:tblBorders>
        <w:tblLook w:val="0000" w:firstRow="0" w:lastRow="0" w:firstColumn="0" w:lastColumn="0" w:noHBand="0" w:noVBand="0"/>
      </w:tblPr>
      <w:tblGrid>
        <w:gridCol w:w="3521"/>
        <w:gridCol w:w="839"/>
        <w:gridCol w:w="962"/>
        <w:gridCol w:w="823"/>
      </w:tblGrid>
      <w:tr w:rsidR="00025F43">
        <w:trPr>
          <w:trHeight w:val="28"/>
          <w:jc w:val="center"/>
        </w:trPr>
        <w:tc>
          <w:tcPr>
            <w:tcW w:w="2864" w:type="pct"/>
            <w:tcBorders>
              <w:top w:val="single" w:sz="8" w:space="0" w:color="auto"/>
              <w:left w:val="nil"/>
              <w:bottom w:val="single" w:sz="8" w:space="0" w:color="auto"/>
              <w:right w:val="nil"/>
            </w:tcBorders>
            <w:vAlign w:val="center"/>
          </w:tcPr>
          <w:p w:rsidR="00025F43" w:rsidRDefault="0088513D">
            <w:pPr>
              <w:pStyle w:val="11"/>
              <w:jc w:val="center"/>
              <w:rPr>
                <w:rFonts w:eastAsia="等线"/>
                <w:b/>
                <w:bCs/>
                <w:sz w:val="18"/>
                <w:szCs w:val="18"/>
              </w:rPr>
            </w:pPr>
            <w:r>
              <w:rPr>
                <w:rFonts w:eastAsia="等线"/>
                <w:b/>
                <w:bCs/>
                <w:sz w:val="18"/>
                <w:szCs w:val="18"/>
              </w:rPr>
              <w:t>Burst Hotspots</w:t>
            </w:r>
          </w:p>
        </w:tc>
        <w:tc>
          <w:tcPr>
            <w:tcW w:w="683" w:type="pct"/>
            <w:tcBorders>
              <w:top w:val="single" w:sz="8" w:space="0" w:color="auto"/>
              <w:left w:val="nil"/>
              <w:bottom w:val="single" w:sz="8" w:space="0" w:color="auto"/>
              <w:right w:val="nil"/>
            </w:tcBorders>
            <w:vAlign w:val="center"/>
          </w:tcPr>
          <w:p w:rsidR="00025F43" w:rsidRDefault="0088513D">
            <w:pPr>
              <w:pStyle w:val="11"/>
              <w:jc w:val="center"/>
              <w:rPr>
                <w:rFonts w:eastAsia="等线"/>
                <w:b/>
                <w:bCs/>
                <w:sz w:val="18"/>
                <w:szCs w:val="18"/>
              </w:rPr>
            </w:pPr>
            <w:r>
              <w:rPr>
                <w:rFonts w:eastAsia="等线"/>
                <w:b/>
                <w:bCs/>
                <w:sz w:val="18"/>
                <w:szCs w:val="18"/>
              </w:rPr>
              <w:t>Weight</w:t>
            </w:r>
          </w:p>
        </w:tc>
        <w:tc>
          <w:tcPr>
            <w:tcW w:w="783" w:type="pct"/>
            <w:tcBorders>
              <w:top w:val="single" w:sz="8" w:space="0" w:color="auto"/>
              <w:left w:val="nil"/>
              <w:bottom w:val="single" w:sz="8" w:space="0" w:color="auto"/>
              <w:right w:val="nil"/>
            </w:tcBorders>
            <w:vAlign w:val="center"/>
          </w:tcPr>
          <w:p w:rsidR="00025F43" w:rsidRDefault="0088513D">
            <w:pPr>
              <w:pStyle w:val="11"/>
              <w:jc w:val="center"/>
              <w:rPr>
                <w:rFonts w:eastAsia="等线"/>
                <w:b/>
                <w:bCs/>
                <w:sz w:val="18"/>
                <w:szCs w:val="18"/>
              </w:rPr>
            </w:pPr>
            <w:r>
              <w:rPr>
                <w:rFonts w:eastAsia="等线"/>
                <w:b/>
                <w:bCs/>
                <w:sz w:val="18"/>
                <w:szCs w:val="18"/>
              </w:rPr>
              <w:t>Duration</w:t>
            </w:r>
          </w:p>
        </w:tc>
        <w:tc>
          <w:tcPr>
            <w:tcW w:w="671" w:type="pct"/>
            <w:tcBorders>
              <w:top w:val="single" w:sz="8" w:space="0" w:color="auto"/>
              <w:left w:val="nil"/>
              <w:bottom w:val="single" w:sz="8" w:space="0" w:color="auto"/>
              <w:right w:val="nil"/>
            </w:tcBorders>
            <w:vAlign w:val="center"/>
          </w:tcPr>
          <w:p w:rsidR="00025F43" w:rsidRDefault="0088513D">
            <w:pPr>
              <w:pStyle w:val="11"/>
              <w:jc w:val="center"/>
              <w:rPr>
                <w:rFonts w:eastAsia="等线"/>
                <w:b/>
                <w:bCs/>
                <w:sz w:val="18"/>
                <w:szCs w:val="18"/>
              </w:rPr>
            </w:pPr>
            <w:r>
              <w:rPr>
                <w:rFonts w:eastAsia="等线"/>
                <w:b/>
                <w:bCs/>
                <w:sz w:val="18"/>
                <w:szCs w:val="18"/>
              </w:rPr>
              <w:t>Start</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Internet-of Thing</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5.982</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2017</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Bionic Robot Fish Structure</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5.431</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3</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2016</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Charging Pile</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5.156</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2018</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Multi-Modal Output</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4.858</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3</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2016</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Resistance Layer</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4.448</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2017</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Intelligent Robot Human-Computer Interaction</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4.399</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2017</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Intelligent Security Robot</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4.342</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2017</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Unmanned Aerial Vehicle</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4.164</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2018</w:t>
            </w:r>
          </w:p>
        </w:tc>
      </w:tr>
      <w:tr w:rsidR="00025F43">
        <w:trPr>
          <w:trHeight w:val="28"/>
          <w:jc w:val="center"/>
        </w:trPr>
        <w:tc>
          <w:tcPr>
            <w:tcW w:w="2864" w:type="pct"/>
            <w:tcBorders>
              <w:top w:val="nil"/>
              <w:left w:val="nil"/>
              <w:bottom w:val="nil"/>
              <w:right w:val="nil"/>
            </w:tcBorders>
            <w:vAlign w:val="center"/>
          </w:tcPr>
          <w:p w:rsidR="00025F43" w:rsidRDefault="0088513D">
            <w:pPr>
              <w:pStyle w:val="11"/>
              <w:rPr>
                <w:rFonts w:eastAsia="等线"/>
                <w:sz w:val="18"/>
                <w:szCs w:val="18"/>
              </w:rPr>
            </w:pPr>
            <w:r>
              <w:rPr>
                <w:rFonts w:eastAsia="等线"/>
                <w:sz w:val="18"/>
                <w:szCs w:val="18"/>
              </w:rPr>
              <w:t>Pneumatic Muscle</w:t>
            </w:r>
          </w:p>
        </w:tc>
        <w:tc>
          <w:tcPr>
            <w:tcW w:w="6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3.746</w:t>
            </w:r>
          </w:p>
        </w:tc>
        <w:tc>
          <w:tcPr>
            <w:tcW w:w="783"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w:t>
            </w:r>
          </w:p>
        </w:tc>
        <w:tc>
          <w:tcPr>
            <w:tcW w:w="671"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2018</w:t>
            </w:r>
          </w:p>
        </w:tc>
      </w:tr>
      <w:tr w:rsidR="00025F43">
        <w:trPr>
          <w:trHeight w:val="28"/>
          <w:jc w:val="center"/>
        </w:trPr>
        <w:tc>
          <w:tcPr>
            <w:tcW w:w="2864" w:type="pct"/>
            <w:tcBorders>
              <w:top w:val="nil"/>
              <w:left w:val="nil"/>
              <w:bottom w:val="single" w:sz="8" w:space="0" w:color="auto"/>
              <w:right w:val="nil"/>
            </w:tcBorders>
            <w:vAlign w:val="center"/>
          </w:tcPr>
          <w:p w:rsidR="00025F43" w:rsidRDefault="0088513D">
            <w:pPr>
              <w:pStyle w:val="11"/>
              <w:rPr>
                <w:rFonts w:eastAsia="等线"/>
                <w:sz w:val="18"/>
                <w:szCs w:val="18"/>
              </w:rPr>
            </w:pPr>
            <w:r>
              <w:rPr>
                <w:rFonts w:eastAsia="等线"/>
                <w:sz w:val="18"/>
                <w:szCs w:val="18"/>
              </w:rPr>
              <w:t>Grabbing Robot</w:t>
            </w:r>
          </w:p>
        </w:tc>
        <w:tc>
          <w:tcPr>
            <w:tcW w:w="683" w:type="pct"/>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3.673</w:t>
            </w:r>
          </w:p>
        </w:tc>
        <w:tc>
          <w:tcPr>
            <w:tcW w:w="783" w:type="pct"/>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1</w:t>
            </w:r>
          </w:p>
        </w:tc>
        <w:tc>
          <w:tcPr>
            <w:tcW w:w="671" w:type="pct"/>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2018</w:t>
            </w:r>
          </w:p>
        </w:tc>
      </w:tr>
    </w:tbl>
    <w:p w:rsidR="00025F43" w:rsidRDefault="0088513D">
      <w:bookmarkStart w:id="17" w:name="_Toc11516"/>
      <w:bookmarkEnd w:id="17"/>
      <w:r>
        <w:t>As illustrated in Table 1, internet-of thing, bionic robot fish structure, robot charging pile, multi-modal output, resistance layer, intelligent robot human-computer interaction, intelligent security robot, unmanned aerial vehicle, pneumatic muscles, and grabbing robot have become hotspots in intelligent robots in recent years.</w:t>
      </w:r>
    </w:p>
    <w:p w:rsidR="00025F43" w:rsidRDefault="0088513D" w:rsidP="00E76262">
      <w:pPr>
        <w:pStyle w:val="heading1"/>
      </w:pPr>
      <w:bookmarkStart w:id="18" w:name="_Toc14173"/>
      <w:bookmarkEnd w:id="18"/>
      <w:r>
        <w:t>Key Technologies Opportunities Analysis of Intelligent Robot</w:t>
      </w:r>
    </w:p>
    <w:p w:rsidR="00025F43" w:rsidRDefault="0088513D" w:rsidP="00E76262">
      <w:pPr>
        <w:pStyle w:val="heading2"/>
        <w:tabs>
          <w:tab w:val="left" w:pos="567"/>
        </w:tabs>
        <w:spacing w:before="0"/>
      </w:pPr>
      <w:bookmarkStart w:id="19" w:name="_Toc30589"/>
      <w:bookmarkStart w:id="20" w:name="_Toc27510"/>
      <w:bookmarkEnd w:id="19"/>
      <w:bookmarkEnd w:id="20"/>
      <w:r>
        <w:t>R&amp;D Trend Analysis</w:t>
      </w:r>
    </w:p>
    <w:p w:rsidR="00025F43" w:rsidRDefault="0088513D">
      <w:pPr>
        <w:pStyle w:val="p1a"/>
      </w:pPr>
      <w:r>
        <w:t xml:space="preserve">Although the earliest patent retrieved was published in 1977, the number of published patents from 1975 to 1999 is deficient. For better presentation, Fig. </w:t>
      </w:r>
      <w:r w:rsidR="00E76262">
        <w:t>4</w:t>
      </w:r>
      <w:r>
        <w:t xml:space="preserve"> only shows the growth trends for the 16 key technology topics for intelligent robots from 1999 to 2018. As illustrated, </w:t>
      </w:r>
      <w:r>
        <w:rPr>
          <w:rFonts w:hint="eastAsia"/>
          <w:lang w:eastAsia="zh-CN"/>
        </w:rPr>
        <w:t>I</w:t>
      </w:r>
      <w:r>
        <w:t xml:space="preserve">ntelligent </w:t>
      </w:r>
      <w:r>
        <w:rPr>
          <w:rFonts w:hint="eastAsia"/>
          <w:lang w:eastAsia="zh-CN"/>
        </w:rPr>
        <w:t>R</w:t>
      </w:r>
      <w:r>
        <w:t xml:space="preserve">obot </w:t>
      </w:r>
      <w:r>
        <w:rPr>
          <w:rFonts w:hint="eastAsia"/>
          <w:lang w:eastAsia="zh-CN"/>
        </w:rPr>
        <w:t xml:space="preserve">for Different Usage </w:t>
      </w:r>
      <w:r>
        <w:t>ha</w:t>
      </w:r>
      <w:r>
        <w:rPr>
          <w:rFonts w:hint="eastAsia"/>
          <w:lang w:eastAsia="zh-CN"/>
        </w:rPr>
        <w:t>s</w:t>
      </w:r>
      <w:r>
        <w:t xml:space="preserve"> </w:t>
      </w:r>
      <w:r>
        <w:rPr>
          <w:rFonts w:hint="eastAsia"/>
          <w:lang w:eastAsia="zh-CN"/>
        </w:rPr>
        <w:t xml:space="preserve">always </w:t>
      </w:r>
      <w:r>
        <w:t xml:space="preserve">been the main emphasis of technology development, and the majority of key technologies have accelerated in growth since 2014. Driving Mechanism, Humanoid Robots, Mechanical Arm, Robot Vision, Path Planning, and Remote Control are rapidly developing. Still, the growth trend shows that Humanoid Robot and Robot </w:t>
      </w:r>
      <w:r>
        <w:rPr>
          <w:rFonts w:hint="eastAsia"/>
          <w:lang w:eastAsia="zh-CN"/>
        </w:rPr>
        <w:t>V</w:t>
      </w:r>
      <w:r>
        <w:t xml:space="preserve">ision have more momentum for future development. Robot Voice, Sensor, Robot Interaction, System Controller, Wireless Communication, Servo Motor, and Robot Joint are developing relatively slowly. In terms of growth, System Controller and Robot Joint may step into </w:t>
      </w:r>
      <w:r w:rsidR="00E76262">
        <w:t xml:space="preserve">a </w:t>
      </w:r>
      <w:r>
        <w:t xml:space="preserve">period of </w:t>
      </w:r>
      <w:r w:rsidR="00E76262">
        <w:t xml:space="preserve">an </w:t>
      </w:r>
      <w:r>
        <w:t xml:space="preserve">upward trend. Robotic Fish has </w:t>
      </w:r>
      <w:r>
        <w:rPr>
          <w:lang w:eastAsia="zh-CN"/>
        </w:rPr>
        <w:t>a slower growth</w:t>
      </w:r>
      <w:r>
        <w:t xml:space="preserve"> and fluctuating as a new technology, probably because it has not yet stabilized. There is more potential for future growth.</w:t>
      </w:r>
    </w:p>
    <w:p w:rsidR="00025F43" w:rsidRDefault="00327BA9">
      <w:pPr>
        <w:pStyle w:val="11"/>
        <w:spacing w:before="80" w:after="40"/>
        <w:jc w:val="center"/>
      </w:pPr>
      <w:r>
        <w:rPr>
          <w:noProof/>
        </w:rPr>
        <w:drawing>
          <wp:inline distT="0" distB="0" distL="0" distR="0">
            <wp:extent cx="3910330" cy="1371600"/>
            <wp:effectExtent l="0" t="0" r="0" b="0"/>
            <wp:docPr id="5" name="Picture 5" descr="wp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s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0330" cy="1371600"/>
                    </a:xfrm>
                    <a:prstGeom prst="rect">
                      <a:avLst/>
                    </a:prstGeom>
                    <a:noFill/>
                    <a:ln>
                      <a:noFill/>
                    </a:ln>
                  </pic:spPr>
                </pic:pic>
              </a:graphicData>
            </a:graphic>
          </wp:inline>
        </w:drawing>
      </w:r>
    </w:p>
    <w:p w:rsidR="00025F43" w:rsidRDefault="0088513D">
      <w:pPr>
        <w:pStyle w:val="figurecaption"/>
      </w:pPr>
      <w:r>
        <w:rPr>
          <w:b/>
        </w:rPr>
        <w:t xml:space="preserve">Fig. </w:t>
      </w:r>
      <w:r w:rsidR="00E76262">
        <w:rPr>
          <w:b/>
        </w:rPr>
        <w:t>4</w:t>
      </w:r>
      <w:r>
        <w:rPr>
          <w:b/>
        </w:rPr>
        <w:t>.</w:t>
      </w:r>
      <w:r>
        <w:t xml:space="preserve"> Analysis of the R&amp;D Trend of Key Technologies of Intelligent Robot</w:t>
      </w:r>
      <w:bookmarkStart w:id="21" w:name="_Toc3160"/>
      <w:bookmarkStart w:id="22" w:name="_Toc4273"/>
      <w:bookmarkStart w:id="23" w:name="_Toc13732"/>
      <w:bookmarkEnd w:id="21"/>
      <w:bookmarkEnd w:id="22"/>
      <w:bookmarkEnd w:id="23"/>
    </w:p>
    <w:p w:rsidR="00025F43" w:rsidRDefault="0088513D">
      <w:pPr>
        <w:pStyle w:val="heading2"/>
        <w:tabs>
          <w:tab w:val="left" w:pos="567"/>
        </w:tabs>
      </w:pPr>
      <w:r>
        <w:lastRenderedPageBreak/>
        <w:t xml:space="preserve"> Competitive Environment Analysis</w:t>
      </w:r>
    </w:p>
    <w:p w:rsidR="00025F43" w:rsidRDefault="0088513D">
      <w:pPr>
        <w:ind w:firstLine="0"/>
      </w:pPr>
      <w:bookmarkStart w:id="24" w:name="_Toc24735"/>
      <w:bookmarkStart w:id="25" w:name="_Toc16700"/>
      <w:bookmarkEnd w:id="24"/>
      <w:bookmarkEnd w:id="25"/>
      <w:r>
        <w:t xml:space="preserve">Fig. </w:t>
      </w:r>
      <w:r w:rsidR="00E76262">
        <w:t>5</w:t>
      </w:r>
      <w:r>
        <w:t>(</w:t>
      </w:r>
      <w:r>
        <w:rPr>
          <w:rFonts w:hint="eastAsia"/>
          <w:lang w:eastAsia="zh-CN"/>
        </w:rPr>
        <w:t>a</w:t>
      </w:r>
      <w:r>
        <w:t xml:space="preserve">) shows the strength comparison in terms of patent scale in the field of key technologies of intelligent robots in five main competing countries/regions, namely China, Japan, Korea, the US, and Europe. </w:t>
      </w:r>
      <w:r w:rsidR="00E76262">
        <w:t>Compared with other countries/regions</w:t>
      </w:r>
      <w:r>
        <w:t>, China has an absolute advantage in the scale of intelligent robot patents. Also, the layout of key technologies of the five countries/regions</w:t>
      </w:r>
      <w:r w:rsidR="00E76262">
        <w:t xml:space="preserve"> is similar to a certain extent</w:t>
      </w:r>
      <w:r>
        <w:t xml:space="preserve">. </w:t>
      </w:r>
    </w:p>
    <w:p w:rsidR="00025F43" w:rsidRDefault="0088513D">
      <w:pPr>
        <w:ind w:firstLine="0"/>
      </w:pPr>
      <w:r>
        <w:t xml:space="preserve">As the absolute value of the number of patents in the five </w:t>
      </w:r>
      <w:r w:rsidR="00E76262">
        <w:t>leading</w:t>
      </w:r>
      <w:r>
        <w:t xml:space="preserve"> countries/regions varies considerably, to further compare the layout of each key technology for intelligent robots in these countries/regions, we standardized the data to reveal the proportional distribution of each country itself in each technology area, as shown in Fig. </w:t>
      </w:r>
      <w:r w:rsidR="00E76262">
        <w:t>5</w:t>
      </w:r>
      <w:r>
        <w:t>(b).</w:t>
      </w:r>
    </w:p>
    <w:p w:rsidR="00025F43" w:rsidRDefault="00327BA9">
      <w:pPr>
        <w:pStyle w:val="image"/>
        <w:jc w:val="left"/>
      </w:pPr>
      <w:r>
        <w:rPr>
          <w:noProof/>
          <w:lang w:eastAsia="zh-CN"/>
        </w:rPr>
        <w:drawing>
          <wp:inline distT="0" distB="0" distL="0" distR="0">
            <wp:extent cx="2171700" cy="1756410"/>
            <wp:effectExtent l="0" t="0" r="0" b="0"/>
            <wp:docPr id="6" name="图片 10"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1756410"/>
                    </a:xfrm>
                    <a:prstGeom prst="rect">
                      <a:avLst/>
                    </a:prstGeom>
                    <a:noFill/>
                    <a:ln>
                      <a:noFill/>
                    </a:ln>
                  </pic:spPr>
                </pic:pic>
              </a:graphicData>
            </a:graphic>
          </wp:inline>
        </w:drawing>
      </w:r>
      <w:r>
        <w:rPr>
          <w:noProof/>
          <w:lang w:eastAsia="zh-CN"/>
        </w:rPr>
        <w:drawing>
          <wp:inline distT="0" distB="0" distL="0" distR="0">
            <wp:extent cx="2219960" cy="1756410"/>
            <wp:effectExtent l="0" t="0" r="0" b="0"/>
            <wp:docPr id="7" name="图片 1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960" cy="1756410"/>
                    </a:xfrm>
                    <a:prstGeom prst="rect">
                      <a:avLst/>
                    </a:prstGeom>
                    <a:noFill/>
                    <a:ln>
                      <a:noFill/>
                    </a:ln>
                  </pic:spPr>
                </pic:pic>
              </a:graphicData>
            </a:graphic>
          </wp:inline>
        </w:drawing>
      </w:r>
    </w:p>
    <w:p w:rsidR="00025F43" w:rsidRDefault="0088513D">
      <w:pPr>
        <w:ind w:firstLineChars="700" w:firstLine="1260"/>
        <w:jc w:val="left"/>
        <w:rPr>
          <w:sz w:val="18"/>
          <w:szCs w:val="18"/>
        </w:rPr>
      </w:pPr>
      <w:r>
        <w:rPr>
          <w:sz w:val="18"/>
          <w:szCs w:val="18"/>
        </w:rPr>
        <w:t>(a) Patent Counts                                       (b) Patent Proportion</w:t>
      </w:r>
    </w:p>
    <w:p w:rsidR="00025F43" w:rsidRDefault="0088513D">
      <w:pPr>
        <w:pStyle w:val="figurecaption"/>
      </w:pPr>
      <w:r>
        <w:rPr>
          <w:b/>
        </w:rPr>
        <w:t xml:space="preserve">Fig. </w:t>
      </w:r>
      <w:r w:rsidR="00E76262">
        <w:rPr>
          <w:b/>
        </w:rPr>
        <w:t>5</w:t>
      </w:r>
      <w:r>
        <w:rPr>
          <w:b/>
        </w:rPr>
        <w:t>.</w:t>
      </w:r>
      <w:r>
        <w:t xml:space="preserve"> Distribution of 16 </w:t>
      </w:r>
      <w:r>
        <w:rPr>
          <w:rFonts w:hint="eastAsia"/>
          <w:lang w:eastAsia="zh-CN"/>
        </w:rPr>
        <w:t>Key</w:t>
      </w:r>
      <w:r>
        <w:t xml:space="preserve"> Technologies in Major Countries/Regions</w:t>
      </w:r>
    </w:p>
    <w:p w:rsidR="00025F43" w:rsidRDefault="0088513D">
      <w:r>
        <w:t>As illustrated, all five countries/regions, especially China and South Korea</w:t>
      </w:r>
      <w:r w:rsidR="00E76262">
        <w:t>,</w:t>
      </w:r>
      <w:r>
        <w:t xml:space="preserve"> </w:t>
      </w:r>
      <w:r w:rsidR="00E76262">
        <w:t>emphasize</w:t>
      </w:r>
      <w:r>
        <w:t xml:space="preserve"> </w:t>
      </w:r>
      <w:r>
        <w:rPr>
          <w:rFonts w:hint="eastAsia"/>
          <w:lang w:eastAsia="zh-CN"/>
        </w:rPr>
        <w:t>I</w:t>
      </w:r>
      <w:r>
        <w:t xml:space="preserve">ntelligent </w:t>
      </w:r>
      <w:r>
        <w:rPr>
          <w:rFonts w:hint="eastAsia"/>
          <w:lang w:eastAsia="zh-CN"/>
        </w:rPr>
        <w:t>R</w:t>
      </w:r>
      <w:r>
        <w:t xml:space="preserve">obots for </w:t>
      </w:r>
      <w:r>
        <w:rPr>
          <w:rFonts w:hint="eastAsia"/>
          <w:lang w:eastAsia="zh-CN"/>
        </w:rPr>
        <w:t>D</w:t>
      </w:r>
      <w:r>
        <w:t xml:space="preserve">ifferent </w:t>
      </w:r>
      <w:r>
        <w:rPr>
          <w:rFonts w:hint="eastAsia"/>
          <w:lang w:eastAsia="zh-CN"/>
        </w:rPr>
        <w:t>U</w:t>
      </w:r>
      <w:r>
        <w:t>sage. Also, Europe has the most considerable presence in Remote Control; Japan featured prominently in Path Planning; South Korea has the largest share of Wireless Communication; and the US distinguished itself on Remote Control, Path Planning, and Driving Mechanism.</w:t>
      </w:r>
    </w:p>
    <w:p w:rsidR="00025F43" w:rsidRDefault="0088513D">
      <w:bookmarkStart w:id="26" w:name="_Toc7015"/>
      <w:bookmarkStart w:id="27" w:name="_Toc5713"/>
      <w:bookmarkEnd w:id="26"/>
      <w:bookmarkEnd w:id="27"/>
      <w:r>
        <w:t>In addition, we explicitly introduce</w:t>
      </w:r>
      <w:r w:rsidR="00E76262">
        <w:t>d</w:t>
      </w:r>
      <w:r>
        <w:t xml:space="preserve"> an analysis of the number of core patents to assess the core technological strength of the five countries/regions and form a more scientific understanding of the competitive environment. A core patent has a key position in a particular technology field, making an outstanding contribution to t</w:t>
      </w:r>
      <w:r w:rsidR="00E76262">
        <w:t>echnological development or impacting</w:t>
      </w:r>
      <w:r>
        <w:t xml:space="preserve"> other patents or technologies </w:t>
      </w:r>
      <w:r>
        <w:fldChar w:fldCharType="begin" w:fldLock="1"/>
      </w:r>
      <w:r>
        <w:instrText>ADDIN CSL_CITATION {"citationItems":[{"id":"ITEM-1","itemData":{"DOI":"10.13266/j.issn.0252-3116.2014.04.010","ISBN":"9781787284395","abstract":"Based on analysis to the current core patent mining methods,we constructed technology-effect subject terms and citations cross co-occurrence to mine core patent clusters. Through the cross co-occurrence analysis to patent technology-effect subject terms,we can easily identify the technology-effect of core patent clusters. Meanwhile,the technology-effect subject terms also get a cross co-occurrence through patent citations,which help to identify the relationship of the various technology in a special field. In this article,we chose medical microendoscopic as empirical study to display the characteristics of cross co-occurrence way,advantages and disadvantages among the cross co-occurrence of technology-effect subject terms with patent citations,co-occurrence of technology subject term with patent citations and the patent co-citation co-occurrence analysis in visualization network map.","author":[{"dropping-particle":"","family":"Xu","given":"Haiyun","non-dropping-particle":"","parse-names":false,"suffix":""},{"dropping-particle":"","family":"Yue","given":"Zenghui","non-dropping-particle":"","parse-names":false,"suffix":""},{"dropping-particle":"","family":"Lei","given":"Bingxu","non-dropping-particle":"","parse-names":false,"suffix":""},{"dropping-particle":"","family":"Fang","given":"Shu","non-dropping-particle":"","parse-names":false,"suffix":""}],"container-title":"Library and Information Service","id":"ITEM-1","issued":{"date-parts":[["2014"]]},"page":"59-64","title":"Core Patents Mining based on Cross Co-occurrence Analysis to Patent Technology-Effect Subject Terms and Citations","type":"article-journal","volume":"04"},"uris":["http://www.mendeley.com/documents/?uuid=a9cdf316-e722-4ff7-9321-fd38d2b0a83f"]}],"mendeley":{"formattedCitation":"(Xu et al., 2014)","plainTextFormattedCitation":"(Xu et al., 2014)","previouslyFormattedCitation":"(Xu et al., 2014)"},"properties":{"noteIndex":0},"schema":"https://github.com/citation-style-language/schema/raw/master/csl-citation.json"}</w:instrText>
      </w:r>
      <w:r>
        <w:fldChar w:fldCharType="separate"/>
      </w:r>
      <w:r>
        <w:rPr>
          <w:lang w:eastAsia="zh-CN"/>
        </w:rPr>
        <w:t>(Xu et al., 2014)</w:t>
      </w:r>
      <w:r>
        <w:fldChar w:fldCharType="end"/>
      </w:r>
      <w:r>
        <w:t>. There are many discussions on the identification of core patents. Still, we mainly use</w:t>
      </w:r>
      <w:r w:rsidR="00E76262">
        <w:t xml:space="preserve"> three indicators to measure core patents</w:t>
      </w:r>
      <w:r>
        <w:t>: the number of citations, the number of patent families, and the number of claims.</w:t>
      </w:r>
    </w:p>
    <w:p w:rsidR="00025F43" w:rsidRDefault="0088513D">
      <w:pPr>
        <w:pStyle w:val="heading2"/>
        <w:tabs>
          <w:tab w:val="left" w:pos="567"/>
        </w:tabs>
      </w:pPr>
      <w:bookmarkStart w:id="28" w:name="_Toc15938"/>
      <w:bookmarkStart w:id="29" w:name="_Toc12712"/>
      <w:bookmarkEnd w:id="28"/>
      <w:bookmarkEnd w:id="29"/>
      <w:r>
        <w:lastRenderedPageBreak/>
        <w:t>Technologies Layout Analysis</w:t>
      </w:r>
    </w:p>
    <w:p w:rsidR="00025F43" w:rsidRDefault="0088513D">
      <w:pPr>
        <w:pStyle w:val="p1a"/>
      </w:pPr>
      <w:r>
        <w:t xml:space="preserve">To clarify the </w:t>
      </w:r>
      <w:r w:rsidR="00E76262">
        <w:t>five leading countries/regions' technology layout</w:t>
      </w:r>
      <w:r>
        <w:t>, we construct</w:t>
      </w:r>
      <w:r w:rsidR="00E76262">
        <w:rPr>
          <w:rFonts w:hint="eastAsia"/>
          <w:lang w:eastAsia="zh-CN"/>
        </w:rPr>
        <w:t>ed</w:t>
      </w:r>
      <w:r>
        <w:t xml:space="preserve"> a matrix of the distribution of patent priority countries/regions and patent family countries/areas for intelligent robot technologies, as shown in Table 2. </w:t>
      </w:r>
      <w:r>
        <w:rPr>
          <w:rFonts w:hint="eastAsia"/>
          <w:lang w:eastAsia="zh-CN"/>
        </w:rPr>
        <w:t>P</w:t>
      </w:r>
      <w:r>
        <w:t>atent priority countr</w:t>
      </w:r>
      <w:r>
        <w:rPr>
          <w:rFonts w:hint="eastAsia"/>
          <w:lang w:eastAsia="zh-CN"/>
        </w:rPr>
        <w:t>ies</w:t>
      </w:r>
      <w:r>
        <w:t>/region</w:t>
      </w:r>
      <w:r>
        <w:rPr>
          <w:rFonts w:hint="eastAsia"/>
          <w:lang w:eastAsia="zh-CN"/>
        </w:rPr>
        <w:t>s indicate</w:t>
      </w:r>
      <w:r>
        <w:t xml:space="preserve"> the </w:t>
      </w:r>
      <w:r w:rsidR="00E76262">
        <w:t>technology source</w:t>
      </w:r>
      <w:r>
        <w:t>, while the countries/regions distribution of patent families describe the technology's market layout.</w:t>
      </w:r>
    </w:p>
    <w:p w:rsidR="00025F43" w:rsidRDefault="0088513D">
      <w:pPr>
        <w:pStyle w:val="tablecaption"/>
      </w:pPr>
      <w:r>
        <w:rPr>
          <w:b/>
        </w:rPr>
        <w:t xml:space="preserve">Table </w:t>
      </w:r>
      <w:r>
        <w:rPr>
          <w:b/>
        </w:rPr>
        <w:fldChar w:fldCharType="begin"/>
      </w:r>
      <w:r>
        <w:rPr>
          <w:b/>
        </w:rPr>
        <w:instrText xml:space="preserve"> SEQ "Table" \* MERGEFORMAT </w:instrText>
      </w:r>
      <w:r>
        <w:rPr>
          <w:b/>
        </w:rPr>
        <w:fldChar w:fldCharType="separate"/>
      </w:r>
      <w:r w:rsidR="00327BA9" w:rsidRPr="00327BA9">
        <w:rPr>
          <w:b/>
          <w:noProof/>
          <w:lang w:val="en-US" w:eastAsia="zh-CN"/>
        </w:rPr>
        <w:t>2</w:t>
      </w:r>
      <w:r>
        <w:rPr>
          <w:b/>
        </w:rPr>
        <w:fldChar w:fldCharType="end"/>
      </w:r>
      <w:r>
        <w:rPr>
          <w:b/>
        </w:rPr>
        <w:t>.</w:t>
      </w:r>
      <w:r>
        <w:t xml:space="preserve"> Patent Priority and Patent Family of Intelligent Robot Technologies in Main Countries/Regions</w:t>
      </w:r>
    </w:p>
    <w:tbl>
      <w:tblPr>
        <w:tblW w:w="5000" w:type="pct"/>
        <w:tblBorders>
          <w:top w:val="single" w:sz="8" w:space="0" w:color="auto"/>
          <w:bottom w:val="single" w:sz="8" w:space="0" w:color="auto"/>
          <w:insideH w:val="single" w:sz="4" w:space="0" w:color="auto"/>
          <w:insideV w:val="single" w:sz="4" w:space="0" w:color="auto"/>
        </w:tblBorders>
        <w:tblLook w:val="0000" w:firstRow="0" w:lastRow="0" w:firstColumn="0" w:lastColumn="0" w:noHBand="0" w:noVBand="0"/>
      </w:tblPr>
      <w:tblGrid>
        <w:gridCol w:w="1205"/>
        <w:gridCol w:w="1238"/>
        <w:gridCol w:w="138"/>
        <w:gridCol w:w="823"/>
        <w:gridCol w:w="1238"/>
        <w:gridCol w:w="1100"/>
        <w:gridCol w:w="1176"/>
      </w:tblGrid>
      <w:tr w:rsidR="00025F43">
        <w:trPr>
          <w:trHeight w:val="20"/>
        </w:trPr>
        <w:tc>
          <w:tcPr>
            <w:tcW w:w="870" w:type="pct"/>
            <w:tcBorders>
              <w:top w:val="single" w:sz="8" w:space="0" w:color="auto"/>
              <w:left w:val="nil"/>
              <w:bottom w:val="single" w:sz="8" w:space="0" w:color="auto"/>
              <w:right w:val="nil"/>
              <w:tl2br w:val="single" w:sz="4" w:space="0" w:color="auto"/>
            </w:tcBorders>
            <w:vAlign w:val="center"/>
          </w:tcPr>
          <w:p w:rsidR="00025F43" w:rsidRDefault="00025F43">
            <w:pPr>
              <w:pStyle w:val="11"/>
              <w:jc w:val="center"/>
              <w:rPr>
                <w:rFonts w:eastAsia="等线"/>
                <w:sz w:val="18"/>
                <w:szCs w:val="18"/>
              </w:rPr>
            </w:pPr>
          </w:p>
        </w:tc>
        <w:tc>
          <w:tcPr>
            <w:tcW w:w="895" w:type="pct"/>
            <w:tcBorders>
              <w:top w:val="single" w:sz="8" w:space="0" w:color="auto"/>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China (7342)</w:t>
            </w:r>
          </w:p>
        </w:tc>
        <w:tc>
          <w:tcPr>
            <w:tcW w:w="695" w:type="pct"/>
            <w:gridSpan w:val="2"/>
            <w:tcBorders>
              <w:top w:val="single" w:sz="8" w:space="0" w:color="auto"/>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US (1790)</w:t>
            </w:r>
          </w:p>
        </w:tc>
        <w:tc>
          <w:tcPr>
            <w:tcW w:w="895" w:type="pct"/>
            <w:tcBorders>
              <w:top w:val="single" w:sz="8" w:space="0" w:color="auto"/>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Japan (1475)</w:t>
            </w:r>
          </w:p>
        </w:tc>
        <w:tc>
          <w:tcPr>
            <w:tcW w:w="795" w:type="pct"/>
            <w:tcBorders>
              <w:top w:val="single" w:sz="8" w:space="0" w:color="auto"/>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Korea (890)</w:t>
            </w:r>
          </w:p>
        </w:tc>
        <w:tc>
          <w:tcPr>
            <w:tcW w:w="850" w:type="pct"/>
            <w:tcBorders>
              <w:top w:val="single" w:sz="8" w:space="0" w:color="auto"/>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Europe (617)</w:t>
            </w:r>
          </w:p>
        </w:tc>
      </w:tr>
      <w:tr w:rsidR="00025F43">
        <w:trPr>
          <w:trHeight w:val="20"/>
        </w:trPr>
        <w:tc>
          <w:tcPr>
            <w:tcW w:w="870" w:type="pct"/>
            <w:tcBorders>
              <w:top w:val="single" w:sz="8" w:space="0" w:color="auto"/>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China (6905)</w:t>
            </w:r>
          </w:p>
        </w:tc>
        <w:tc>
          <w:tcPr>
            <w:tcW w:w="995" w:type="pct"/>
            <w:gridSpan w:val="2"/>
            <w:tcBorders>
              <w:top w:val="single" w:sz="8" w:space="0" w:color="auto"/>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6896</w:t>
            </w:r>
          </w:p>
        </w:tc>
        <w:tc>
          <w:tcPr>
            <w:tcW w:w="595" w:type="pct"/>
            <w:tcBorders>
              <w:top w:val="single" w:sz="8" w:space="0" w:color="auto"/>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51</w:t>
            </w:r>
          </w:p>
        </w:tc>
        <w:tc>
          <w:tcPr>
            <w:tcW w:w="895" w:type="pct"/>
            <w:tcBorders>
              <w:top w:val="single" w:sz="8" w:space="0" w:color="auto"/>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29</w:t>
            </w:r>
          </w:p>
        </w:tc>
        <w:tc>
          <w:tcPr>
            <w:tcW w:w="795" w:type="pct"/>
            <w:tcBorders>
              <w:top w:val="single" w:sz="8" w:space="0" w:color="auto"/>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11</w:t>
            </w:r>
          </w:p>
        </w:tc>
        <w:tc>
          <w:tcPr>
            <w:tcW w:w="850" w:type="pct"/>
            <w:tcBorders>
              <w:top w:val="single" w:sz="8" w:space="0" w:color="auto"/>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22</w:t>
            </w:r>
          </w:p>
        </w:tc>
      </w:tr>
      <w:tr w:rsidR="00025F43">
        <w:trPr>
          <w:trHeight w:val="20"/>
        </w:trPr>
        <w:tc>
          <w:tcPr>
            <w:tcW w:w="870"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U.S. (1091)</w:t>
            </w:r>
          </w:p>
        </w:tc>
        <w:tc>
          <w:tcPr>
            <w:tcW w:w="995" w:type="pct"/>
            <w:gridSpan w:val="2"/>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168</w:t>
            </w:r>
          </w:p>
        </w:tc>
        <w:tc>
          <w:tcPr>
            <w:tcW w:w="5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1056</w:t>
            </w:r>
          </w:p>
        </w:tc>
        <w:tc>
          <w:tcPr>
            <w:tcW w:w="8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188</w:t>
            </w:r>
          </w:p>
        </w:tc>
        <w:tc>
          <w:tcPr>
            <w:tcW w:w="7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59</w:t>
            </w:r>
          </w:p>
        </w:tc>
        <w:tc>
          <w:tcPr>
            <w:tcW w:w="850"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230</w:t>
            </w:r>
          </w:p>
        </w:tc>
      </w:tr>
      <w:tr w:rsidR="00025F43">
        <w:trPr>
          <w:trHeight w:val="20"/>
        </w:trPr>
        <w:tc>
          <w:tcPr>
            <w:tcW w:w="870"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Japan (1111)</w:t>
            </w:r>
          </w:p>
        </w:tc>
        <w:tc>
          <w:tcPr>
            <w:tcW w:w="995" w:type="pct"/>
            <w:gridSpan w:val="2"/>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102</w:t>
            </w:r>
          </w:p>
        </w:tc>
        <w:tc>
          <w:tcPr>
            <w:tcW w:w="5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250</w:t>
            </w:r>
          </w:p>
        </w:tc>
        <w:tc>
          <w:tcPr>
            <w:tcW w:w="8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1086</w:t>
            </w:r>
          </w:p>
        </w:tc>
        <w:tc>
          <w:tcPr>
            <w:tcW w:w="7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47</w:t>
            </w:r>
          </w:p>
        </w:tc>
        <w:tc>
          <w:tcPr>
            <w:tcW w:w="850"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86</w:t>
            </w:r>
          </w:p>
        </w:tc>
      </w:tr>
      <w:tr w:rsidR="00025F43">
        <w:trPr>
          <w:trHeight w:val="20"/>
        </w:trPr>
        <w:tc>
          <w:tcPr>
            <w:tcW w:w="870"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Korea (737)</w:t>
            </w:r>
          </w:p>
        </w:tc>
        <w:tc>
          <w:tcPr>
            <w:tcW w:w="995" w:type="pct"/>
            <w:gridSpan w:val="2"/>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51</w:t>
            </w:r>
          </w:p>
        </w:tc>
        <w:tc>
          <w:tcPr>
            <w:tcW w:w="5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240</w:t>
            </w:r>
          </w:p>
        </w:tc>
        <w:tc>
          <w:tcPr>
            <w:tcW w:w="8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46</w:t>
            </w:r>
          </w:p>
        </w:tc>
        <w:tc>
          <w:tcPr>
            <w:tcW w:w="795"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725</w:t>
            </w:r>
          </w:p>
        </w:tc>
        <w:tc>
          <w:tcPr>
            <w:tcW w:w="850" w:type="pct"/>
            <w:tcBorders>
              <w:top w:val="nil"/>
              <w:left w:val="nil"/>
              <w:bottom w:val="nil"/>
              <w:right w:val="nil"/>
            </w:tcBorders>
            <w:vAlign w:val="center"/>
          </w:tcPr>
          <w:p w:rsidR="00025F43" w:rsidRDefault="0088513D">
            <w:pPr>
              <w:pStyle w:val="11"/>
              <w:jc w:val="center"/>
              <w:rPr>
                <w:rFonts w:eastAsia="等线"/>
                <w:sz w:val="18"/>
                <w:szCs w:val="18"/>
              </w:rPr>
            </w:pPr>
            <w:r>
              <w:rPr>
                <w:rFonts w:eastAsia="等线"/>
                <w:sz w:val="18"/>
                <w:szCs w:val="18"/>
              </w:rPr>
              <w:t>63</w:t>
            </w:r>
          </w:p>
        </w:tc>
      </w:tr>
      <w:tr w:rsidR="00025F43">
        <w:trPr>
          <w:trHeight w:val="20"/>
        </w:trPr>
        <w:tc>
          <w:tcPr>
            <w:tcW w:w="870" w:type="pct"/>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Europe (73)</w:t>
            </w:r>
          </w:p>
        </w:tc>
        <w:tc>
          <w:tcPr>
            <w:tcW w:w="995" w:type="pct"/>
            <w:gridSpan w:val="2"/>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21</w:t>
            </w:r>
          </w:p>
        </w:tc>
        <w:tc>
          <w:tcPr>
            <w:tcW w:w="595" w:type="pct"/>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49</w:t>
            </w:r>
          </w:p>
        </w:tc>
        <w:tc>
          <w:tcPr>
            <w:tcW w:w="895" w:type="pct"/>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41</w:t>
            </w:r>
          </w:p>
        </w:tc>
        <w:tc>
          <w:tcPr>
            <w:tcW w:w="795" w:type="pct"/>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17</w:t>
            </w:r>
          </w:p>
        </w:tc>
        <w:tc>
          <w:tcPr>
            <w:tcW w:w="850" w:type="pct"/>
            <w:tcBorders>
              <w:top w:val="nil"/>
              <w:left w:val="nil"/>
              <w:bottom w:val="single" w:sz="8" w:space="0" w:color="auto"/>
              <w:right w:val="nil"/>
            </w:tcBorders>
            <w:vAlign w:val="center"/>
          </w:tcPr>
          <w:p w:rsidR="00025F43" w:rsidRDefault="0088513D">
            <w:pPr>
              <w:pStyle w:val="11"/>
              <w:jc w:val="center"/>
              <w:rPr>
                <w:rFonts w:eastAsia="等线"/>
                <w:sz w:val="18"/>
                <w:szCs w:val="18"/>
              </w:rPr>
            </w:pPr>
            <w:r>
              <w:rPr>
                <w:rFonts w:eastAsia="等线"/>
                <w:sz w:val="18"/>
                <w:szCs w:val="18"/>
              </w:rPr>
              <w:t>72</w:t>
            </w:r>
          </w:p>
        </w:tc>
      </w:tr>
    </w:tbl>
    <w:p w:rsidR="00E76262" w:rsidRDefault="00E76262">
      <w:pPr>
        <w:ind w:firstLine="0"/>
      </w:pPr>
    </w:p>
    <w:p w:rsidR="00025F43" w:rsidRDefault="0088513D">
      <w:pPr>
        <w:ind w:firstLine="0"/>
      </w:pPr>
      <w:r>
        <w:t>As depicted, China is the most prominent source of technology and the largest technology market. Still, as much as 93.93% (6896/7342 = 0.9393) of China</w:t>
      </w:r>
      <w:r w:rsidR="005B61A6">
        <w:t>'</w:t>
      </w:r>
      <w:r>
        <w:t xml:space="preserve">s intelligent robots patents are filed domestically. In other words, the proportion of China's overseas intelligent robots patents is deficient, which may weaken China in future international market competition. </w:t>
      </w:r>
    </w:p>
    <w:p w:rsidR="00025F43" w:rsidRDefault="0088513D">
      <w:r>
        <w:t xml:space="preserve">Generally, </w:t>
      </w:r>
      <w:r w:rsidR="00E76262">
        <w:t>overseas patents' technology content</w:t>
      </w:r>
      <w:r>
        <w:t xml:space="preserve"> is higher, and the scale of overseas patent layout can somehow reflect th</w:t>
      </w:r>
      <w:r w:rsidR="00E76262">
        <w:t>ose countries/regions' technological competitivenes</w:t>
      </w:r>
      <w:r>
        <w:t>s. The proportion of overseas patents in China is the lowest among the five countries/regions, implying that China should focus on quality and innovation while developing its patent scale to enhance its technological advancement and competitiveness to gain a dominant global position in intelligent robots. Furthermore, the US, Europe, Korea, and Japan have few patent applications in China, with the highest number being only 168 of the US, which indicates that the domestic market in China is relatively saturated. China may need to explore opportunities overseas in the future.</w:t>
      </w:r>
    </w:p>
    <w:p w:rsidR="00025F43" w:rsidRDefault="0088513D">
      <w:r>
        <w:t xml:space="preserve">The US's overseas homologous ratio is 41.01%, and its overseas patent applications are mainly distributed in Japan and South Korea. Simultaneously, the number of patents filed in the US by Japan and South Korea is also the highest except for their own countries, which indicates that the three countries have close patent technology ties. Although the patent scale of Europe is small, the ratio of overseas patent applications is significant, at 88.33%, in contrast to China's conservative inward-looking technology layout. This indicates Europe has pioneering consciousness, attaching importance to </w:t>
      </w:r>
      <w:r w:rsidR="00E76262">
        <w:t xml:space="preserve">the </w:t>
      </w:r>
      <w:r>
        <w:t>overseas technology market and rapid technology marketization.</w:t>
      </w:r>
    </w:p>
    <w:p w:rsidR="00025F43" w:rsidRDefault="0088513D">
      <w:pPr>
        <w:pStyle w:val="heading1"/>
      </w:pPr>
      <w:r>
        <w:lastRenderedPageBreak/>
        <w:t>Conclusion</w:t>
      </w:r>
    </w:p>
    <w:p w:rsidR="00025F43" w:rsidRDefault="0088513D">
      <w:pPr>
        <w:pStyle w:val="p1a"/>
      </w:pPr>
      <w:r>
        <w:t>As an emerging technology that has been developing rapidly in recent years, intelligent robots have gone through three evolutionary stages: "Industrial Robot," "Autonomous Mobile Robot," and "Intelligent Robot." It has developed sixteen key technologies, namely Humanoid Robot, Robot Joint, Mechanical Arm, Driving Mechanism, Sensor, Wireless Communication, Servo Motor, System controller, Remote Control, Path Planning, Robot Voice, Robot Vision, Detection Mechanism, Robot Interaction, Robotic Fish and Intelligent Robot for Different Usage. IoT Robot, Bionic Robot Fish Structure, Robot Charging Pile, Multi-modal Output Data, Resistance Layer, Intelligent Robot Human-Computer Interaction, Intelligent Security Robot, Unmanned Aerial Vehicle, Pneumatic Muscle, and Grabbing Robot become burst hotspots recently.</w:t>
      </w:r>
    </w:p>
    <w:p w:rsidR="00025F43" w:rsidRDefault="0088513D">
      <w:r>
        <w:t xml:space="preserve">Among the key technology topics of intelligent robots, </w:t>
      </w:r>
      <w:r w:rsidR="00E1191D">
        <w:t xml:space="preserve">the </w:t>
      </w:r>
      <w:r>
        <w:t>Intelligent Robot for Different Usage has been the focus, Humanoid Robot will develop rapidly in the coming period, and Robotic Fish has more significant potential for development as a burst hotspot that has not yet stabilized. Globally, China's intelligent robot patents have an absolute advantage in terms of scale. However, its core patented technologies left much to be desired, particularly in Remote Control and Path Planning. China's intelligent robots technology mainly filed domestically, lacking overseas markets, making China underprivileged to compete in the international market in the future. China could invest more in Remote Control, Path Planning, Robot Voice, Detection Mechanism, and Robot Joint in the future to seek a balanced layout.</w:t>
      </w:r>
    </w:p>
    <w:p w:rsidR="00025F43" w:rsidRDefault="00E1191D">
      <w:r>
        <w:t xml:space="preserve">This paper's main contributions </w:t>
      </w:r>
      <w:r>
        <w:rPr>
          <w:rFonts w:hint="eastAsia"/>
          <w:lang w:eastAsia="zh-CN"/>
        </w:rPr>
        <w:t>are</w:t>
      </w:r>
      <w:r>
        <w:t xml:space="preserve"> summarized </w:t>
      </w:r>
      <w:r>
        <w:rPr>
          <w:rFonts w:hint="eastAsia"/>
          <w:lang w:eastAsia="zh-CN"/>
        </w:rPr>
        <w:t>below</w:t>
      </w:r>
      <w:r w:rsidR="0088513D">
        <w:t>:</w:t>
      </w:r>
      <w:r w:rsidR="0088513D">
        <w:rPr>
          <w:rFonts w:hint="eastAsia"/>
          <w:lang w:eastAsia="zh-CN"/>
        </w:rPr>
        <w:t xml:space="preserve"> </w:t>
      </w:r>
      <w:r w:rsidR="0088513D">
        <w:rPr>
          <w:lang w:eastAsia="zh-CN"/>
        </w:rPr>
        <w:t>1</w:t>
      </w:r>
      <w:r w:rsidR="0088513D">
        <w:rPr>
          <w:rFonts w:hint="eastAsia"/>
          <w:lang w:eastAsia="zh-CN"/>
        </w:rPr>
        <w:t>)</w:t>
      </w:r>
      <w:r w:rsidR="0088513D">
        <w:t xml:space="preserve"> When extracting terms from patent titles, instead of extracting individual words, n-gram term with thematic significance are extracted, providing convenience for topic identification and hotspots analysis. 2) We construct</w:t>
      </w:r>
      <w:r>
        <w:t>ed</w:t>
      </w:r>
      <w:r w:rsidR="0088513D">
        <w:t xml:space="preserve"> a framework for analyzing intelligent robots' key technologies' opportunities from three perspectives: technology R&amp;D trends, competitive environment, and technology layout. It considers the overall patent scale and introduces core patents analysis so that t</w:t>
      </w:r>
      <w:r>
        <w:t>he countries/regions' technological strength</w:t>
      </w:r>
      <w:r w:rsidR="0088513D">
        <w:t>s can be assessed more scientifically, and the competitive environment can be understood more holistically.</w:t>
      </w:r>
    </w:p>
    <w:p w:rsidR="007660D9" w:rsidRDefault="0088513D" w:rsidP="007660D9">
      <w:r>
        <w:t xml:space="preserve">Limitations of this paper: </w:t>
      </w:r>
      <w:r>
        <w:rPr>
          <w:lang w:eastAsia="zh-CN"/>
        </w:rPr>
        <w:t>1</w:t>
      </w:r>
      <w:r>
        <w:rPr>
          <w:rFonts w:hint="eastAsia"/>
          <w:lang w:eastAsia="zh-CN"/>
        </w:rPr>
        <w:t>)</w:t>
      </w:r>
      <w:r>
        <w:t xml:space="preserve"> When extracting terms from patent titles, the overly long terms were not accurately segmented, </w:t>
      </w:r>
      <w:r w:rsidR="00E1191D">
        <w:rPr>
          <w:rFonts w:hint="eastAsia"/>
          <w:lang w:eastAsia="zh-CN"/>
        </w:rPr>
        <w:t>so</w:t>
      </w:r>
      <w:r w:rsidR="00E1191D">
        <w:t xml:space="preserve"> </w:t>
      </w:r>
      <w:r>
        <w:t xml:space="preserve">some of the terms not being counted in the co-word analysis may affect the results of the topic clustering identification. 2) The proposed framework was based solely on the patents' perspective, without considering the impact of market and technology policies on technology opportunities. For </w:t>
      </w:r>
      <w:r w:rsidR="00E1191D">
        <w:t xml:space="preserve">a </w:t>
      </w:r>
      <w:r>
        <w:t>competitive environment, we only assess the competition between countries at a macro level, but the competition between specific individuals, such as commercial enterprises and research institutions, was neglected.</w:t>
      </w:r>
    </w:p>
    <w:p w:rsidR="007660D9" w:rsidRDefault="007660D9">
      <w:pPr>
        <w:overflowPunct/>
        <w:autoSpaceDE/>
        <w:autoSpaceDN/>
        <w:adjustRightInd/>
        <w:spacing w:line="240" w:lineRule="auto"/>
        <w:ind w:firstLine="0"/>
        <w:jc w:val="left"/>
        <w:rPr>
          <w:b/>
          <w:bCs/>
          <w:sz w:val="24"/>
        </w:rPr>
      </w:pPr>
      <w:r>
        <w:br w:type="page"/>
      </w:r>
    </w:p>
    <w:p w:rsidR="00025F43" w:rsidRDefault="0088513D">
      <w:pPr>
        <w:pStyle w:val="heading1"/>
        <w:numPr>
          <w:ilvl w:val="0"/>
          <w:numId w:val="0"/>
        </w:numPr>
        <w:tabs>
          <w:tab w:val="left" w:pos="567"/>
        </w:tabs>
        <w:ind w:left="567" w:hanging="567"/>
        <w:rPr>
          <w:lang w:eastAsia="zh-CN"/>
        </w:rPr>
      </w:pPr>
      <w:r>
        <w:lastRenderedPageBreak/>
        <w:t>Reference</w:t>
      </w:r>
      <w:r>
        <w:rPr>
          <w:rFonts w:hint="eastAsia"/>
          <w:lang w:eastAsia="zh-CN"/>
        </w:rPr>
        <w:t>s</w:t>
      </w:r>
    </w:p>
    <w:p w:rsidR="00025F43" w:rsidRDefault="0088513D">
      <w:pPr>
        <w:pStyle w:val="referenceitem"/>
        <w:rPr>
          <w:lang w:eastAsia="zh-CN"/>
        </w:rPr>
      </w:pPr>
      <w:r>
        <w:rPr>
          <w:lang w:eastAsia="zh-CN"/>
        </w:rPr>
        <w:fldChar w:fldCharType="begin" w:fldLock="1"/>
      </w:r>
      <w:r>
        <w:rPr>
          <w:lang w:eastAsia="zh-CN"/>
        </w:rPr>
        <w:instrText xml:space="preserve">ADDIN Mendeley Bibliography CSL_BIBLIOGRAPHY </w:instrText>
      </w:r>
      <w:r>
        <w:rPr>
          <w:lang w:eastAsia="zh-CN"/>
        </w:rPr>
        <w:fldChar w:fldCharType="separate"/>
      </w:r>
      <w:r>
        <w:rPr>
          <w:lang w:eastAsia="zh-CN"/>
        </w:rPr>
        <w:t xml:space="preserve">Bird, S., Klein, E., &amp; Loper, E. (2009). </w:t>
      </w:r>
      <w:r>
        <w:rPr>
          <w:i/>
          <w:iCs/>
          <w:lang w:eastAsia="zh-CN"/>
        </w:rPr>
        <w:t>Natural Language Processing with Python</w:t>
      </w:r>
      <w:r>
        <w:rPr>
          <w:lang w:eastAsia="zh-CN"/>
        </w:rPr>
        <w:t>. O</w:t>
      </w:r>
      <w:r w:rsidR="005B61A6">
        <w:rPr>
          <w:lang w:eastAsia="zh-CN"/>
        </w:rPr>
        <w:t>'</w:t>
      </w:r>
      <w:r>
        <w:rPr>
          <w:lang w:eastAsia="zh-CN"/>
        </w:rPr>
        <w:t>Reilly Media Inc. https://doi.org/10.17509/ijal.v1i1.106</w:t>
      </w:r>
    </w:p>
    <w:p w:rsidR="00025F43" w:rsidRDefault="0088513D">
      <w:pPr>
        <w:pStyle w:val="referenceitem"/>
        <w:rPr>
          <w:lang w:eastAsia="zh-CN"/>
        </w:rPr>
      </w:pPr>
      <w:r>
        <w:rPr>
          <w:lang w:eastAsia="zh-CN"/>
        </w:rPr>
        <w:t xml:space="preserve">Blondel, V. D., Guillaume, J. L., Lambiotte, R., &amp; Lefebvre, E. (2008). Fast unfolding of communities in large networks. </w:t>
      </w:r>
      <w:r>
        <w:rPr>
          <w:i/>
          <w:iCs/>
          <w:lang w:eastAsia="zh-CN"/>
        </w:rPr>
        <w:t>Journal of Statistical Mechanics: Theory and Experiment</w:t>
      </w:r>
      <w:r>
        <w:rPr>
          <w:lang w:eastAsia="zh-CN"/>
        </w:rPr>
        <w:t>. https://doi.org/10.1088/1742-5468/2008/10/P10008</w:t>
      </w:r>
    </w:p>
    <w:p w:rsidR="00025F43" w:rsidRDefault="00DD33B7">
      <w:pPr>
        <w:pStyle w:val="referenceitem"/>
        <w:rPr>
          <w:lang w:eastAsia="zh-CN"/>
        </w:rPr>
      </w:pPr>
      <w:r>
        <w:rPr>
          <w:lang w:eastAsia="zh-CN"/>
        </w:rPr>
        <w:t>Y</w:t>
      </w:r>
      <w:r w:rsidR="0088513D">
        <w:rPr>
          <w:lang w:eastAsia="zh-CN"/>
        </w:rPr>
        <w:t xml:space="preserve">oon, B., &amp; Park, Y. (2005). A systematic approach for identifying technology opportunities: Keyword-based morphology analysis. </w:t>
      </w:r>
      <w:r w:rsidR="0088513D">
        <w:rPr>
          <w:i/>
          <w:iCs/>
          <w:lang w:eastAsia="zh-CN"/>
        </w:rPr>
        <w:t>Technological Forecasting and Social Change</w:t>
      </w:r>
      <w:r w:rsidR="0088513D">
        <w:rPr>
          <w:lang w:eastAsia="zh-CN"/>
        </w:rPr>
        <w:t>. https://doi.org/10.1016/j.techfore.2004.08.011</w:t>
      </w:r>
    </w:p>
    <w:p w:rsidR="00025F43" w:rsidRDefault="0088513D">
      <w:pPr>
        <w:pStyle w:val="referenceitem"/>
        <w:rPr>
          <w:lang w:eastAsia="zh-CN"/>
        </w:rPr>
      </w:pPr>
      <w:r>
        <w:rPr>
          <w:lang w:eastAsia="zh-CN"/>
        </w:rPr>
        <w:t xml:space="preserve">Chan, S. K., &amp; Miyazaki, K. (2015). Knowledge convergence between cloud computing and big data and analysis of emerging technological opportunities in Malaysia. </w:t>
      </w:r>
      <w:r>
        <w:rPr>
          <w:i/>
          <w:iCs/>
          <w:lang w:eastAsia="zh-CN"/>
        </w:rPr>
        <w:t>Portland International Conference on Management of Engineering and Technology</w:t>
      </w:r>
      <w:r>
        <w:rPr>
          <w:lang w:eastAsia="zh-CN"/>
        </w:rPr>
        <w:t>. https://doi.org/10.1109/PICMET.2015.7273134</w:t>
      </w:r>
    </w:p>
    <w:p w:rsidR="00025F43" w:rsidRDefault="0088513D">
      <w:pPr>
        <w:pStyle w:val="referenceitem"/>
        <w:rPr>
          <w:lang w:eastAsia="zh-CN"/>
        </w:rPr>
      </w:pPr>
      <w:r>
        <w:rPr>
          <w:lang w:eastAsia="zh-CN"/>
        </w:rPr>
        <w:t xml:space="preserve">Ho, J. C., Saw, E. C., Lu, L. Y. Y., &amp; Liu, J. S. (2014). Technological barriers and research trends in fuel cell technologies: A citation network analysis. </w:t>
      </w:r>
      <w:r>
        <w:rPr>
          <w:i/>
          <w:iCs/>
          <w:lang w:eastAsia="zh-CN"/>
        </w:rPr>
        <w:t>Technological Forecasting and Social Change</w:t>
      </w:r>
      <w:r>
        <w:rPr>
          <w:lang w:eastAsia="zh-CN"/>
        </w:rPr>
        <w:t>. https://doi.org/10.1016/j.techfore.2013.06.004</w:t>
      </w:r>
    </w:p>
    <w:p w:rsidR="00025F43" w:rsidRDefault="0088513D">
      <w:pPr>
        <w:pStyle w:val="referenceitem"/>
        <w:rPr>
          <w:lang w:eastAsia="zh-CN"/>
        </w:rPr>
      </w:pPr>
      <w:r>
        <w:rPr>
          <w:lang w:eastAsia="zh-CN"/>
        </w:rPr>
        <w:t xml:space="preserve">Kleinberg, J. (2003). Bursty and Hierarchical Structure in Streams. </w:t>
      </w:r>
      <w:r>
        <w:rPr>
          <w:i/>
          <w:iCs/>
          <w:lang w:eastAsia="zh-CN"/>
        </w:rPr>
        <w:t>Data Mining and Knowledge Discovery</w:t>
      </w:r>
      <w:r>
        <w:rPr>
          <w:lang w:eastAsia="zh-CN"/>
        </w:rPr>
        <w:t>. https://doi.org/10.1023/A:1024940629314</w:t>
      </w:r>
    </w:p>
    <w:p w:rsidR="00025F43" w:rsidRDefault="0088513D">
      <w:pPr>
        <w:pStyle w:val="referenceitem"/>
        <w:rPr>
          <w:lang w:eastAsia="zh-CN"/>
        </w:rPr>
      </w:pPr>
      <w:r>
        <w:rPr>
          <w:lang w:eastAsia="zh-CN"/>
        </w:rPr>
        <w:t xml:space="preserve">Lee, C., Jeon, D., Ahn, J. M., &amp; Kwon, O. (2020). Navigating a product landscape for technology opportunity analysis: A word2vec approach using an integrated patent-product database. </w:t>
      </w:r>
      <w:r>
        <w:rPr>
          <w:i/>
          <w:iCs/>
          <w:lang w:eastAsia="zh-CN"/>
        </w:rPr>
        <w:t>Technovation</w:t>
      </w:r>
      <w:r>
        <w:rPr>
          <w:lang w:eastAsia="zh-CN"/>
        </w:rPr>
        <w:t>. https://doi.org/10.1016/j.technovation.2020.102140</w:t>
      </w:r>
    </w:p>
    <w:p w:rsidR="00025F43" w:rsidRDefault="0088513D">
      <w:pPr>
        <w:pStyle w:val="referenceitem"/>
        <w:rPr>
          <w:lang w:eastAsia="zh-CN"/>
        </w:rPr>
      </w:pPr>
      <w:r>
        <w:rPr>
          <w:lang w:eastAsia="zh-CN"/>
        </w:rPr>
        <w:t xml:space="preserve">Lee, S., Yoon, B., &amp; Park, Y. (2009). An approach to discovering new technology opportunities: Keyword-based patent map approach. </w:t>
      </w:r>
      <w:r>
        <w:rPr>
          <w:i/>
          <w:iCs/>
          <w:lang w:eastAsia="zh-CN"/>
        </w:rPr>
        <w:t>Technovation</w:t>
      </w:r>
      <w:r>
        <w:rPr>
          <w:lang w:eastAsia="zh-CN"/>
        </w:rPr>
        <w:t>. https://doi.org/10.1016/j.technovation.2008.10.006</w:t>
      </w:r>
    </w:p>
    <w:p w:rsidR="00025F43" w:rsidRDefault="0088513D">
      <w:pPr>
        <w:pStyle w:val="referenceitem"/>
        <w:rPr>
          <w:lang w:eastAsia="zh-CN"/>
        </w:rPr>
      </w:pPr>
      <w:r>
        <w:rPr>
          <w:lang w:eastAsia="zh-CN"/>
        </w:rPr>
        <w:t>Ma, T., Porter, A. L., Guo, Y., Ready, J., Xu, C., &amp; Gao, L. (2014). A technology opportunities analysis model: applied to dye-sensiti</w:t>
      </w:r>
      <w:r w:rsidR="00567866">
        <w:rPr>
          <w:lang w:eastAsia="zh-CN"/>
        </w:rPr>
        <w:t>z</w:t>
      </w:r>
      <w:r>
        <w:rPr>
          <w:lang w:eastAsia="zh-CN"/>
        </w:rPr>
        <w:t xml:space="preserve">ed solar cells for China. </w:t>
      </w:r>
      <w:r>
        <w:rPr>
          <w:i/>
          <w:iCs/>
          <w:lang w:eastAsia="zh-CN"/>
        </w:rPr>
        <w:t>Technology Analysis and Strategic Management</w:t>
      </w:r>
      <w:r>
        <w:rPr>
          <w:lang w:eastAsia="zh-CN"/>
        </w:rPr>
        <w:t>. https://doi.org/10.1080/09537325.2013.850155</w:t>
      </w:r>
    </w:p>
    <w:p w:rsidR="00025F43" w:rsidRDefault="0017037F" w:rsidP="0017037F">
      <w:pPr>
        <w:pStyle w:val="referenceitem"/>
        <w:rPr>
          <w:lang w:eastAsia="zh-CN"/>
        </w:rPr>
      </w:pPr>
      <w:r w:rsidRPr="0017037F">
        <w:rPr>
          <w:lang w:eastAsia="zh-CN"/>
        </w:rPr>
        <w:t>Porter, Alan L, Jin, Xiao-Yin, Gilmour, Joseph E, Cunningham, Scott, Xu, Huaidong, Stanard, Christopher, &amp; Lin, Wang. (1994). Technology opportunities analysis: Integrating technology monitoring, forecasting, and assessment with strategic planning. SRA Journal, 26(2), 21.</w:t>
      </w:r>
    </w:p>
    <w:p w:rsidR="00025F43" w:rsidRDefault="0088513D">
      <w:pPr>
        <w:pStyle w:val="referenceitem"/>
        <w:rPr>
          <w:lang w:eastAsia="zh-CN"/>
        </w:rPr>
      </w:pPr>
      <w:r>
        <w:rPr>
          <w:lang w:eastAsia="zh-CN"/>
        </w:rPr>
        <w:t xml:space="preserve">Rodriguez, A., Tosyali, A., Kim, B., Choi, J., Lee, J. M., Coh, B. Y., &amp; Jeong, M. K. (2016). Patent Clustering and Outlier Ranking Methodologies for Attributed Patent Citation Networks for Technology Opportunity Discovery. </w:t>
      </w:r>
      <w:r>
        <w:rPr>
          <w:i/>
          <w:iCs/>
          <w:lang w:eastAsia="zh-CN"/>
        </w:rPr>
        <w:t>IEEE Transactions on Engineering Management</w:t>
      </w:r>
      <w:r>
        <w:rPr>
          <w:lang w:eastAsia="zh-CN"/>
        </w:rPr>
        <w:t>. https://doi.org/10.1109/TEM.2016.2580619</w:t>
      </w:r>
    </w:p>
    <w:p w:rsidR="00025F43" w:rsidRDefault="0088513D">
      <w:pPr>
        <w:pStyle w:val="referenceitem"/>
        <w:rPr>
          <w:lang w:eastAsia="zh-CN"/>
        </w:rPr>
      </w:pPr>
      <w:r>
        <w:rPr>
          <w:lang w:eastAsia="zh-CN"/>
        </w:rPr>
        <w:t xml:space="preserve">Shane, S. (2000). Prior Knowledge and the Discovery of Entrepreneurial Opportunities. </w:t>
      </w:r>
      <w:r>
        <w:rPr>
          <w:i/>
          <w:iCs/>
          <w:lang w:eastAsia="zh-CN"/>
        </w:rPr>
        <w:t>Organization Science</w:t>
      </w:r>
      <w:r>
        <w:rPr>
          <w:lang w:eastAsia="zh-CN"/>
        </w:rPr>
        <w:t>. https://doi.org/10.1287/orsc.11.4.448.14602</w:t>
      </w:r>
    </w:p>
    <w:p w:rsidR="00025F43" w:rsidRDefault="0088513D">
      <w:pPr>
        <w:pStyle w:val="referenceitem"/>
        <w:rPr>
          <w:lang w:eastAsia="zh-CN"/>
        </w:rPr>
      </w:pPr>
      <w:r>
        <w:rPr>
          <w:lang w:eastAsia="zh-CN"/>
        </w:rPr>
        <w:t xml:space="preserve">Traag, V. A., Waltman, L., &amp; van Eck, N. J. (2019). From Louvain to Leiden: guaranteeing well-connected communities. </w:t>
      </w:r>
      <w:r>
        <w:rPr>
          <w:i/>
          <w:iCs/>
          <w:lang w:eastAsia="zh-CN"/>
        </w:rPr>
        <w:t>Scientific Reports</w:t>
      </w:r>
      <w:r>
        <w:rPr>
          <w:lang w:eastAsia="zh-CN"/>
        </w:rPr>
        <w:t>. https://doi.org/10.1038/s41598-019-41695-z</w:t>
      </w:r>
    </w:p>
    <w:p w:rsidR="00025F43" w:rsidRDefault="0088513D">
      <w:pPr>
        <w:pStyle w:val="referenceitem"/>
        <w:rPr>
          <w:lang w:eastAsia="zh-CN"/>
        </w:rPr>
      </w:pPr>
      <w:r>
        <w:rPr>
          <w:lang w:eastAsia="zh-CN"/>
        </w:rPr>
        <w:t xml:space="preserve">Wang, M. Y., Fang, S. C., &amp; Chang, Y. H. (2015). Exploring technological opportunities by mining the gaps between science and technology: Microalgal biofuels. </w:t>
      </w:r>
      <w:r>
        <w:rPr>
          <w:i/>
          <w:iCs/>
          <w:lang w:eastAsia="zh-CN"/>
        </w:rPr>
        <w:t>Technological Forecasting and Social Change</w:t>
      </w:r>
      <w:r>
        <w:rPr>
          <w:lang w:eastAsia="zh-CN"/>
        </w:rPr>
        <w:t>. https://doi.org/10.1016/j.techfore.2014.07.008</w:t>
      </w:r>
    </w:p>
    <w:p w:rsidR="00025F43" w:rsidRDefault="0088513D">
      <w:pPr>
        <w:pStyle w:val="referenceitem"/>
        <w:rPr>
          <w:lang w:eastAsia="zh-CN"/>
        </w:rPr>
      </w:pPr>
      <w:r>
        <w:rPr>
          <w:lang w:eastAsia="zh-CN"/>
        </w:rPr>
        <w:t xml:space="preserve">Wang, X., Ma, P., Huang, Y., Guo, J., Zhu, D., Porter, A. L., &amp; Wang, Z. (2017). Combining SAO semantic analysis and morphology analysis to identify technology opportunities. </w:t>
      </w:r>
      <w:r>
        <w:rPr>
          <w:i/>
          <w:iCs/>
          <w:lang w:eastAsia="zh-CN"/>
        </w:rPr>
        <w:t>Scientometrics</w:t>
      </w:r>
      <w:r>
        <w:rPr>
          <w:lang w:eastAsia="zh-CN"/>
        </w:rPr>
        <w:t>. https://doi.org/10.1007/s11192-017-2260-y</w:t>
      </w:r>
    </w:p>
    <w:p w:rsidR="00025F43" w:rsidRDefault="0088513D">
      <w:pPr>
        <w:pStyle w:val="referenceitem"/>
        <w:rPr>
          <w:lang w:eastAsia="zh-CN"/>
        </w:rPr>
      </w:pPr>
      <w:r>
        <w:rPr>
          <w:lang w:eastAsia="zh-CN"/>
        </w:rPr>
        <w:lastRenderedPageBreak/>
        <w:t xml:space="preserve">Xu, H., Yue, Z., Lei, B., &amp; Fang, S. (2014). Core Patents Mining based on Cross Co-occurrence Analysis to Patent Technology-Effect Subject Terms and Citations. </w:t>
      </w:r>
      <w:r>
        <w:rPr>
          <w:i/>
          <w:iCs/>
          <w:lang w:eastAsia="zh-CN"/>
        </w:rPr>
        <w:t>Library and Information Service</w:t>
      </w:r>
      <w:r w:rsidR="0017037F">
        <w:rPr>
          <w:rFonts w:hint="eastAsia"/>
          <w:lang w:eastAsia="zh-CN"/>
        </w:rPr>
        <w:t>.</w:t>
      </w:r>
      <w:r w:rsidR="0017037F">
        <w:rPr>
          <w:lang w:eastAsia="zh-CN"/>
        </w:rPr>
        <w:t xml:space="preserve"> </w:t>
      </w:r>
      <w:r>
        <w:rPr>
          <w:lang w:eastAsia="zh-CN"/>
        </w:rPr>
        <w:t>https://doi.org/10.13266/j.issn.0252-3116.2014.04.010</w:t>
      </w:r>
    </w:p>
    <w:p w:rsidR="00025F43" w:rsidRDefault="0088513D" w:rsidP="00532D15">
      <w:pPr>
        <w:pStyle w:val="referenceitem"/>
        <w:rPr>
          <w:lang w:eastAsia="zh-CN"/>
        </w:rPr>
      </w:pPr>
      <w:r>
        <w:rPr>
          <w:lang w:eastAsia="zh-CN"/>
        </w:rPr>
        <w:t xml:space="preserve">Yang, L., &amp; Peiyang, X. (2013). Analysis on Research Status Quo of Technology Opportunity at Home and Abroad. </w:t>
      </w:r>
      <w:r>
        <w:rPr>
          <w:i/>
          <w:iCs/>
          <w:lang w:eastAsia="zh-CN"/>
        </w:rPr>
        <w:t>Information Research</w:t>
      </w:r>
      <w:r w:rsidR="00532D15">
        <w:rPr>
          <w:lang w:eastAsia="zh-CN"/>
        </w:rPr>
        <w:t>.</w:t>
      </w:r>
      <w:r>
        <w:rPr>
          <w:lang w:eastAsia="zh-CN"/>
        </w:rPr>
        <w:t xml:space="preserve"> </w:t>
      </w:r>
      <w:r w:rsidR="00532D15" w:rsidRPr="00532D15">
        <w:rPr>
          <w:iCs/>
          <w:lang w:eastAsia="zh-CN"/>
        </w:rPr>
        <w:t>https://doi.org/</w:t>
      </w:r>
      <w:r w:rsidR="00532D15" w:rsidRPr="00532D15">
        <w:rPr>
          <w:rFonts w:hint="eastAsia"/>
          <w:lang w:eastAsia="zh-CN"/>
        </w:rPr>
        <w:t>10.3969</w:t>
      </w:r>
      <w:r w:rsidR="00532D15" w:rsidRPr="00532D15">
        <w:rPr>
          <w:lang w:eastAsia="zh-CN"/>
        </w:rPr>
        <w:t>/</w:t>
      </w:r>
      <w:r w:rsidR="00BE5049" w:rsidRPr="00532D15">
        <w:rPr>
          <w:rFonts w:hint="eastAsia"/>
          <w:lang w:eastAsia="zh-CN"/>
        </w:rPr>
        <w:t>j.issn.1005-8095.2013.01.002</w:t>
      </w:r>
    </w:p>
    <w:p w:rsidR="00025F43" w:rsidRDefault="0088513D">
      <w:pPr>
        <w:pStyle w:val="referenceitem"/>
        <w:rPr>
          <w:lang w:eastAsia="zh-CN"/>
        </w:rPr>
      </w:pPr>
      <w:r>
        <w:rPr>
          <w:lang w:eastAsia="zh-CN"/>
        </w:rPr>
        <w:t xml:space="preserve">Yoon, B., Phaal, R., &amp; Probert, D. (2008). Morphology analysis for technology roadmapping: Application of text mining. </w:t>
      </w:r>
      <w:r>
        <w:rPr>
          <w:i/>
          <w:iCs/>
          <w:lang w:eastAsia="zh-CN"/>
        </w:rPr>
        <w:t>R and D Management</w:t>
      </w:r>
      <w:r>
        <w:rPr>
          <w:lang w:eastAsia="zh-CN"/>
        </w:rPr>
        <w:t>. https://doi.org/10.1111/j.1467-9310.2007.00493.x</w:t>
      </w:r>
    </w:p>
    <w:p w:rsidR="00025F43" w:rsidRDefault="0088513D">
      <w:pPr>
        <w:pStyle w:val="referenceitem"/>
        <w:rPr>
          <w:lang w:eastAsia="zh-CN"/>
        </w:rPr>
      </w:pPr>
      <w:r>
        <w:rPr>
          <w:lang w:eastAsia="zh-CN"/>
        </w:rPr>
        <w:t xml:space="preserve">Zhang, J., &amp; Yu, W. (2020). Early detection of technology opportunity based on analogy design and phrase semantic representation. </w:t>
      </w:r>
      <w:r>
        <w:rPr>
          <w:i/>
          <w:iCs/>
          <w:lang w:eastAsia="zh-CN"/>
        </w:rPr>
        <w:t>Scientometrics</w:t>
      </w:r>
      <w:r>
        <w:rPr>
          <w:lang w:eastAsia="zh-CN"/>
        </w:rPr>
        <w:t>. https://doi.org/10.1007/s11192-020-03641-z</w:t>
      </w:r>
    </w:p>
    <w:p w:rsidR="00025F43" w:rsidRDefault="0088513D">
      <w:pPr>
        <w:pStyle w:val="referenceitem"/>
        <w:rPr>
          <w:lang w:eastAsia="zh-CN"/>
        </w:rPr>
      </w:pPr>
      <w:r>
        <w:rPr>
          <w:lang w:eastAsia="zh-CN"/>
        </w:rPr>
        <w:t xml:space="preserve">Zhu, D., Porter, A. L., &amp; Porter, A. L. (2002). Automated extraction and visualization of information for technological intelligence and forecasting. </w:t>
      </w:r>
      <w:r>
        <w:rPr>
          <w:i/>
          <w:iCs/>
          <w:lang w:eastAsia="zh-CN"/>
        </w:rPr>
        <w:t>Technological Forecasting and Social Change</w:t>
      </w:r>
      <w:r>
        <w:rPr>
          <w:lang w:eastAsia="zh-CN"/>
        </w:rPr>
        <w:t>. https://doi.org/10.1016/S0040-1625(01)00157-3</w:t>
      </w:r>
    </w:p>
    <w:p w:rsidR="00025F43" w:rsidRDefault="0088513D" w:rsidP="00BE5049">
      <w:pPr>
        <w:pStyle w:val="referenceitem"/>
        <w:rPr>
          <w:lang w:eastAsia="zh-CN"/>
        </w:rPr>
      </w:pPr>
      <w:r>
        <w:rPr>
          <w:lang w:eastAsia="zh-CN"/>
        </w:rPr>
        <w:t>Zhu, D., Wu, C., &amp; Mao, J. (1998). Analysis of Technology Opportunities Ba</w:t>
      </w:r>
      <w:r w:rsidR="00BE5049">
        <w:rPr>
          <w:lang w:eastAsia="zh-CN"/>
        </w:rPr>
        <w:t>sed on Data Network Environment</w:t>
      </w:r>
      <w:r>
        <w:rPr>
          <w:lang w:eastAsia="zh-CN"/>
        </w:rPr>
        <w:t xml:space="preserve">. </w:t>
      </w:r>
      <w:r w:rsidR="00BE5049">
        <w:rPr>
          <w:i/>
          <w:iCs/>
          <w:lang w:eastAsia="zh-CN"/>
        </w:rPr>
        <w:t>Industrial Engineering Journal</w:t>
      </w:r>
      <w:r>
        <w:rPr>
          <w:lang w:eastAsia="zh-CN"/>
        </w:rPr>
        <w:t>.</w:t>
      </w:r>
      <w:r w:rsidR="00BE5049" w:rsidRPr="00BE5049">
        <w:t xml:space="preserve"> </w:t>
      </w:r>
      <w:r w:rsidR="00BE5049">
        <w:rPr>
          <w:lang w:eastAsia="zh-CN"/>
        </w:rPr>
        <w:t>1</w:t>
      </w:r>
      <w:r w:rsidR="00BE5049" w:rsidRPr="00BE5049">
        <w:rPr>
          <w:lang w:eastAsia="zh-CN"/>
        </w:rPr>
        <w:t>(04)</w:t>
      </w:r>
      <w:r w:rsidR="00BE5049">
        <w:rPr>
          <w:lang w:eastAsia="zh-CN"/>
        </w:rPr>
        <w:t>, 14</w:t>
      </w:r>
    </w:p>
    <w:p w:rsidR="0088513D" w:rsidRDefault="0088513D">
      <w:pPr>
        <w:ind w:firstLine="0"/>
        <w:rPr>
          <w:lang w:eastAsia="zh-CN"/>
        </w:rPr>
      </w:pPr>
      <w:r>
        <w:rPr>
          <w:lang w:eastAsia="zh-CN"/>
        </w:rPr>
        <w:fldChar w:fldCharType="end"/>
      </w:r>
    </w:p>
    <w:sectPr w:rsidR="0088513D">
      <w:pgSz w:w="11906" w:h="16838"/>
      <w:pgMar w:top="2948" w:right="2494" w:bottom="2948" w:left="2494" w:header="2381" w:footer="23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6A9" w:rsidRDefault="001306A9" w:rsidP="00327BA9">
      <w:pPr>
        <w:spacing w:line="240" w:lineRule="auto"/>
      </w:pPr>
      <w:r>
        <w:separator/>
      </w:r>
    </w:p>
  </w:endnote>
  <w:endnote w:type="continuationSeparator" w:id="0">
    <w:p w:rsidR="001306A9" w:rsidRDefault="001306A9" w:rsidP="00327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6A9" w:rsidRDefault="001306A9" w:rsidP="00327BA9">
      <w:pPr>
        <w:spacing w:line="240" w:lineRule="auto"/>
      </w:pPr>
      <w:r>
        <w:separator/>
      </w:r>
    </w:p>
  </w:footnote>
  <w:footnote w:type="continuationSeparator" w:id="0">
    <w:p w:rsidR="001306A9" w:rsidRDefault="001306A9" w:rsidP="00327B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FFFFF88"/>
    <w:lvl w:ilvl="0">
      <w:start w:val="1"/>
      <w:numFmt w:val="decimal"/>
      <w:pStyle w:val="a"/>
      <w:lvlText w:val="%1."/>
      <w:lvlJc w:val="left"/>
      <w:pPr>
        <w:tabs>
          <w:tab w:val="num" w:pos="227"/>
        </w:tabs>
        <w:ind w:left="227" w:hanging="227"/>
      </w:pPr>
      <w:rPr>
        <w:rFonts w:hint="default"/>
      </w:rPr>
    </w:lvl>
  </w:abstractNum>
  <w:abstractNum w:abstractNumId="1"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118B32E5"/>
    <w:multiLevelType w:val="multilevel"/>
    <w:tmpl w:val="118B32E5"/>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 w15:restartNumberingAfterBreak="0">
    <w:nsid w:val="1F397F84"/>
    <w:multiLevelType w:val="multilevel"/>
    <w:tmpl w:val="1F397F84"/>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6F404C9F"/>
    <w:multiLevelType w:val="multilevel"/>
    <w:tmpl w:val="6F404C9F"/>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7738779A"/>
    <w:multiLevelType w:val="multilevel"/>
    <w:tmpl w:val="7738779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9521C8"/>
    <w:multiLevelType w:val="multilevel"/>
    <w:tmpl w:val="7D9521C8"/>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2NDGzMDUwtzA2MTFT0lEKTi0uzszPAykwrgUAMlEHYCwAAAA="/>
  </w:docVars>
  <w:rsids>
    <w:rsidRoot w:val="006F4503"/>
    <w:rsid w:val="0000048D"/>
    <w:rsid w:val="000110D3"/>
    <w:rsid w:val="00017ABC"/>
    <w:rsid w:val="000209FE"/>
    <w:rsid w:val="00025F43"/>
    <w:rsid w:val="000310FD"/>
    <w:rsid w:val="00035058"/>
    <w:rsid w:val="00042A4B"/>
    <w:rsid w:val="00044B21"/>
    <w:rsid w:val="000468E1"/>
    <w:rsid w:val="00047E22"/>
    <w:rsid w:val="00052B81"/>
    <w:rsid w:val="00060DE4"/>
    <w:rsid w:val="000670B9"/>
    <w:rsid w:val="0007549E"/>
    <w:rsid w:val="00083617"/>
    <w:rsid w:val="00095694"/>
    <w:rsid w:val="000B0BB4"/>
    <w:rsid w:val="000B553B"/>
    <w:rsid w:val="000C1161"/>
    <w:rsid w:val="000C5BDE"/>
    <w:rsid w:val="000D0BFA"/>
    <w:rsid w:val="000D507E"/>
    <w:rsid w:val="000D63D0"/>
    <w:rsid w:val="000F19F5"/>
    <w:rsid w:val="000F273E"/>
    <w:rsid w:val="000F328B"/>
    <w:rsid w:val="001106A4"/>
    <w:rsid w:val="001306A9"/>
    <w:rsid w:val="00130B50"/>
    <w:rsid w:val="001343D0"/>
    <w:rsid w:val="00151772"/>
    <w:rsid w:val="00155D11"/>
    <w:rsid w:val="00156CCA"/>
    <w:rsid w:val="0015721A"/>
    <w:rsid w:val="0016340C"/>
    <w:rsid w:val="00166009"/>
    <w:rsid w:val="0017037F"/>
    <w:rsid w:val="00171521"/>
    <w:rsid w:val="00176368"/>
    <w:rsid w:val="00191F31"/>
    <w:rsid w:val="00195587"/>
    <w:rsid w:val="001A4455"/>
    <w:rsid w:val="001A6634"/>
    <w:rsid w:val="001C02CA"/>
    <w:rsid w:val="001D545F"/>
    <w:rsid w:val="001E62A6"/>
    <w:rsid w:val="001F11F2"/>
    <w:rsid w:val="001F17E9"/>
    <w:rsid w:val="001F5FDF"/>
    <w:rsid w:val="001F68CA"/>
    <w:rsid w:val="001F6FC0"/>
    <w:rsid w:val="001F7036"/>
    <w:rsid w:val="0020296C"/>
    <w:rsid w:val="002036A7"/>
    <w:rsid w:val="00203963"/>
    <w:rsid w:val="00205B9D"/>
    <w:rsid w:val="002060A7"/>
    <w:rsid w:val="00217118"/>
    <w:rsid w:val="00223838"/>
    <w:rsid w:val="00224F23"/>
    <w:rsid w:val="00231066"/>
    <w:rsid w:val="0024301B"/>
    <w:rsid w:val="00243F19"/>
    <w:rsid w:val="00250774"/>
    <w:rsid w:val="0025332B"/>
    <w:rsid w:val="002534C9"/>
    <w:rsid w:val="00260473"/>
    <w:rsid w:val="00260ABE"/>
    <w:rsid w:val="002641EF"/>
    <w:rsid w:val="002664DC"/>
    <w:rsid w:val="00266838"/>
    <w:rsid w:val="00272D44"/>
    <w:rsid w:val="00276B4D"/>
    <w:rsid w:val="00277590"/>
    <w:rsid w:val="00294524"/>
    <w:rsid w:val="002A0A21"/>
    <w:rsid w:val="002A7470"/>
    <w:rsid w:val="002B15BE"/>
    <w:rsid w:val="002D20E2"/>
    <w:rsid w:val="002E597F"/>
    <w:rsid w:val="00303B8D"/>
    <w:rsid w:val="00307478"/>
    <w:rsid w:val="003167D9"/>
    <w:rsid w:val="00326742"/>
    <w:rsid w:val="00327BA9"/>
    <w:rsid w:val="00350B43"/>
    <w:rsid w:val="0035505F"/>
    <w:rsid w:val="0035641D"/>
    <w:rsid w:val="003652EC"/>
    <w:rsid w:val="003666A1"/>
    <w:rsid w:val="00377C44"/>
    <w:rsid w:val="00381C60"/>
    <w:rsid w:val="00384CBD"/>
    <w:rsid w:val="003911B6"/>
    <w:rsid w:val="003B3B8C"/>
    <w:rsid w:val="003C632C"/>
    <w:rsid w:val="003C78A7"/>
    <w:rsid w:val="003D75EF"/>
    <w:rsid w:val="003E18D7"/>
    <w:rsid w:val="003F00C7"/>
    <w:rsid w:val="003F423B"/>
    <w:rsid w:val="00410277"/>
    <w:rsid w:val="0041449A"/>
    <w:rsid w:val="004218C3"/>
    <w:rsid w:val="0042782E"/>
    <w:rsid w:val="00434415"/>
    <w:rsid w:val="0044743E"/>
    <w:rsid w:val="00461E3B"/>
    <w:rsid w:val="004638D5"/>
    <w:rsid w:val="00495C43"/>
    <w:rsid w:val="004C13F4"/>
    <w:rsid w:val="004D07AC"/>
    <w:rsid w:val="004D2A8B"/>
    <w:rsid w:val="004E42EA"/>
    <w:rsid w:val="004F0014"/>
    <w:rsid w:val="004F4A36"/>
    <w:rsid w:val="004F7187"/>
    <w:rsid w:val="00500C42"/>
    <w:rsid w:val="0051723A"/>
    <w:rsid w:val="00531EEA"/>
    <w:rsid w:val="00532D15"/>
    <w:rsid w:val="00544CE9"/>
    <w:rsid w:val="00550530"/>
    <w:rsid w:val="005618F8"/>
    <w:rsid w:val="00567866"/>
    <w:rsid w:val="00572786"/>
    <w:rsid w:val="0058168B"/>
    <w:rsid w:val="00590615"/>
    <w:rsid w:val="00592168"/>
    <w:rsid w:val="00593C14"/>
    <w:rsid w:val="00594AA8"/>
    <w:rsid w:val="00596272"/>
    <w:rsid w:val="005B0819"/>
    <w:rsid w:val="005B21D1"/>
    <w:rsid w:val="005B5A42"/>
    <w:rsid w:val="005B61A6"/>
    <w:rsid w:val="005B6768"/>
    <w:rsid w:val="005C03A7"/>
    <w:rsid w:val="005C091A"/>
    <w:rsid w:val="005D5B5A"/>
    <w:rsid w:val="005E464F"/>
    <w:rsid w:val="005E48C3"/>
    <w:rsid w:val="005F7FAC"/>
    <w:rsid w:val="0060296C"/>
    <w:rsid w:val="006030DE"/>
    <w:rsid w:val="006047C4"/>
    <w:rsid w:val="0060481B"/>
    <w:rsid w:val="00612056"/>
    <w:rsid w:val="006137BC"/>
    <w:rsid w:val="00615238"/>
    <w:rsid w:val="00624AD7"/>
    <w:rsid w:val="0062629C"/>
    <w:rsid w:val="00631C4A"/>
    <w:rsid w:val="00634F02"/>
    <w:rsid w:val="00636913"/>
    <w:rsid w:val="00636A67"/>
    <w:rsid w:val="006444A9"/>
    <w:rsid w:val="00650B04"/>
    <w:rsid w:val="0065153E"/>
    <w:rsid w:val="0065419A"/>
    <w:rsid w:val="006621DA"/>
    <w:rsid w:val="00662811"/>
    <w:rsid w:val="00666154"/>
    <w:rsid w:val="006704F3"/>
    <w:rsid w:val="00671ECF"/>
    <w:rsid w:val="00683327"/>
    <w:rsid w:val="00684EAE"/>
    <w:rsid w:val="00685452"/>
    <w:rsid w:val="0069757F"/>
    <w:rsid w:val="006A0A6F"/>
    <w:rsid w:val="006B0CBA"/>
    <w:rsid w:val="006B168A"/>
    <w:rsid w:val="006B385E"/>
    <w:rsid w:val="006C4F86"/>
    <w:rsid w:val="006D1F41"/>
    <w:rsid w:val="006D2B8B"/>
    <w:rsid w:val="006D3BD7"/>
    <w:rsid w:val="006D49F3"/>
    <w:rsid w:val="006E17E4"/>
    <w:rsid w:val="006E292B"/>
    <w:rsid w:val="006E6B71"/>
    <w:rsid w:val="006F4503"/>
    <w:rsid w:val="006F602B"/>
    <w:rsid w:val="00701753"/>
    <w:rsid w:val="0070690C"/>
    <w:rsid w:val="00712B78"/>
    <w:rsid w:val="00712EF0"/>
    <w:rsid w:val="00715651"/>
    <w:rsid w:val="0073504E"/>
    <w:rsid w:val="0073679E"/>
    <w:rsid w:val="0074376F"/>
    <w:rsid w:val="00743D41"/>
    <w:rsid w:val="007660D9"/>
    <w:rsid w:val="007712C8"/>
    <w:rsid w:val="007742DA"/>
    <w:rsid w:val="007758E6"/>
    <w:rsid w:val="00783197"/>
    <w:rsid w:val="007834CA"/>
    <w:rsid w:val="00783CE4"/>
    <w:rsid w:val="007857EE"/>
    <w:rsid w:val="007871B2"/>
    <w:rsid w:val="00791866"/>
    <w:rsid w:val="00792288"/>
    <w:rsid w:val="00796AA8"/>
    <w:rsid w:val="00797C4F"/>
    <w:rsid w:val="007A22A8"/>
    <w:rsid w:val="007A34A0"/>
    <w:rsid w:val="007A4EE3"/>
    <w:rsid w:val="007A7B7E"/>
    <w:rsid w:val="007B19CB"/>
    <w:rsid w:val="007C36AF"/>
    <w:rsid w:val="007C504D"/>
    <w:rsid w:val="007E2975"/>
    <w:rsid w:val="007F18B2"/>
    <w:rsid w:val="008031D5"/>
    <w:rsid w:val="008108FB"/>
    <w:rsid w:val="00821AE6"/>
    <w:rsid w:val="008741EE"/>
    <w:rsid w:val="008808E2"/>
    <w:rsid w:val="0088376F"/>
    <w:rsid w:val="0088513D"/>
    <w:rsid w:val="0089088C"/>
    <w:rsid w:val="008B1227"/>
    <w:rsid w:val="008B1451"/>
    <w:rsid w:val="008C0811"/>
    <w:rsid w:val="008D1F3F"/>
    <w:rsid w:val="008E3F92"/>
    <w:rsid w:val="008E589A"/>
    <w:rsid w:val="008F039E"/>
    <w:rsid w:val="008F6065"/>
    <w:rsid w:val="008F6B08"/>
    <w:rsid w:val="008F7409"/>
    <w:rsid w:val="009043D1"/>
    <w:rsid w:val="0091033C"/>
    <w:rsid w:val="00910C9A"/>
    <w:rsid w:val="00914CBF"/>
    <w:rsid w:val="00917CE5"/>
    <w:rsid w:val="009211A4"/>
    <w:rsid w:val="00931259"/>
    <w:rsid w:val="00933964"/>
    <w:rsid w:val="009360E2"/>
    <w:rsid w:val="009365B3"/>
    <w:rsid w:val="009424E7"/>
    <w:rsid w:val="00942A8F"/>
    <w:rsid w:val="00946462"/>
    <w:rsid w:val="00947640"/>
    <w:rsid w:val="00952EB0"/>
    <w:rsid w:val="0096634D"/>
    <w:rsid w:val="00967DFD"/>
    <w:rsid w:val="00977228"/>
    <w:rsid w:val="00983492"/>
    <w:rsid w:val="009A40EA"/>
    <w:rsid w:val="009A459C"/>
    <w:rsid w:val="009B1FCB"/>
    <w:rsid w:val="009B6B60"/>
    <w:rsid w:val="009D622D"/>
    <w:rsid w:val="009D67DB"/>
    <w:rsid w:val="009E6619"/>
    <w:rsid w:val="009E7C8C"/>
    <w:rsid w:val="009F6210"/>
    <w:rsid w:val="00A053DF"/>
    <w:rsid w:val="00A06CFF"/>
    <w:rsid w:val="00A27277"/>
    <w:rsid w:val="00A31B4A"/>
    <w:rsid w:val="00A322D5"/>
    <w:rsid w:val="00A41CE2"/>
    <w:rsid w:val="00A503DB"/>
    <w:rsid w:val="00A51E15"/>
    <w:rsid w:val="00A54C71"/>
    <w:rsid w:val="00A63886"/>
    <w:rsid w:val="00A6772F"/>
    <w:rsid w:val="00A72C4A"/>
    <w:rsid w:val="00A7602B"/>
    <w:rsid w:val="00A771A3"/>
    <w:rsid w:val="00A92A92"/>
    <w:rsid w:val="00A9461B"/>
    <w:rsid w:val="00A94DE5"/>
    <w:rsid w:val="00A94EFE"/>
    <w:rsid w:val="00AB4A7A"/>
    <w:rsid w:val="00AB5D06"/>
    <w:rsid w:val="00AB6359"/>
    <w:rsid w:val="00AC27F6"/>
    <w:rsid w:val="00AD5FB8"/>
    <w:rsid w:val="00AE0675"/>
    <w:rsid w:val="00AF32F8"/>
    <w:rsid w:val="00AF54B5"/>
    <w:rsid w:val="00B01D5B"/>
    <w:rsid w:val="00B15BB0"/>
    <w:rsid w:val="00B26C8D"/>
    <w:rsid w:val="00B413B0"/>
    <w:rsid w:val="00B41ECC"/>
    <w:rsid w:val="00B9153B"/>
    <w:rsid w:val="00B92DD3"/>
    <w:rsid w:val="00BA16DB"/>
    <w:rsid w:val="00BB5FF6"/>
    <w:rsid w:val="00BC1154"/>
    <w:rsid w:val="00BC4835"/>
    <w:rsid w:val="00BD16DA"/>
    <w:rsid w:val="00BE5049"/>
    <w:rsid w:val="00BE7D5D"/>
    <w:rsid w:val="00C025D3"/>
    <w:rsid w:val="00C137D8"/>
    <w:rsid w:val="00C2239D"/>
    <w:rsid w:val="00C2543E"/>
    <w:rsid w:val="00C26F77"/>
    <w:rsid w:val="00C40DC7"/>
    <w:rsid w:val="00C431E2"/>
    <w:rsid w:val="00C469AA"/>
    <w:rsid w:val="00C51BE5"/>
    <w:rsid w:val="00C51D78"/>
    <w:rsid w:val="00C578FE"/>
    <w:rsid w:val="00C67087"/>
    <w:rsid w:val="00C7050A"/>
    <w:rsid w:val="00C75CE6"/>
    <w:rsid w:val="00C80458"/>
    <w:rsid w:val="00C8423D"/>
    <w:rsid w:val="00C84F49"/>
    <w:rsid w:val="00C86689"/>
    <w:rsid w:val="00C93C45"/>
    <w:rsid w:val="00C94D83"/>
    <w:rsid w:val="00C95176"/>
    <w:rsid w:val="00CA59F3"/>
    <w:rsid w:val="00CB2B00"/>
    <w:rsid w:val="00CB3349"/>
    <w:rsid w:val="00CC324F"/>
    <w:rsid w:val="00CD41A2"/>
    <w:rsid w:val="00CE7DB1"/>
    <w:rsid w:val="00CF0220"/>
    <w:rsid w:val="00D07960"/>
    <w:rsid w:val="00D41E65"/>
    <w:rsid w:val="00D4296A"/>
    <w:rsid w:val="00D52040"/>
    <w:rsid w:val="00D53D56"/>
    <w:rsid w:val="00D74289"/>
    <w:rsid w:val="00D8596E"/>
    <w:rsid w:val="00D91CF8"/>
    <w:rsid w:val="00D94B96"/>
    <w:rsid w:val="00D96070"/>
    <w:rsid w:val="00DD33B7"/>
    <w:rsid w:val="00DD4D7F"/>
    <w:rsid w:val="00DE4E66"/>
    <w:rsid w:val="00DF0902"/>
    <w:rsid w:val="00DF2701"/>
    <w:rsid w:val="00E06313"/>
    <w:rsid w:val="00E1191D"/>
    <w:rsid w:val="00E21C9A"/>
    <w:rsid w:val="00E258AE"/>
    <w:rsid w:val="00E7224F"/>
    <w:rsid w:val="00E76262"/>
    <w:rsid w:val="00E8179F"/>
    <w:rsid w:val="00E84A60"/>
    <w:rsid w:val="00E95241"/>
    <w:rsid w:val="00E9716E"/>
    <w:rsid w:val="00E974CB"/>
    <w:rsid w:val="00EA47E1"/>
    <w:rsid w:val="00EC7264"/>
    <w:rsid w:val="00ED6540"/>
    <w:rsid w:val="00EE0EB6"/>
    <w:rsid w:val="00EF7699"/>
    <w:rsid w:val="00F13A13"/>
    <w:rsid w:val="00F3059F"/>
    <w:rsid w:val="00F30965"/>
    <w:rsid w:val="00F367D3"/>
    <w:rsid w:val="00F3698F"/>
    <w:rsid w:val="00F4401D"/>
    <w:rsid w:val="00F45D32"/>
    <w:rsid w:val="00F523E6"/>
    <w:rsid w:val="00FA14AA"/>
    <w:rsid w:val="00FB1F1F"/>
    <w:rsid w:val="00FC2854"/>
    <w:rsid w:val="00FC6C48"/>
    <w:rsid w:val="00FE26C9"/>
    <w:rsid w:val="00FE26FD"/>
    <w:rsid w:val="00FF4F43"/>
    <w:rsid w:val="00FF6B05"/>
    <w:rsid w:val="787C5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D4C67"/>
  <w15:chartTrackingRefBased/>
  <w15:docId w15:val="{71A05152-3C99-4753-B8AD-081C0607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overflowPunct w:val="0"/>
      <w:autoSpaceDE w:val="0"/>
      <w:autoSpaceDN w:val="0"/>
      <w:adjustRightInd w:val="0"/>
      <w:spacing w:line="240" w:lineRule="atLeast"/>
      <w:ind w:firstLine="227"/>
      <w:jc w:val="both"/>
    </w:pPr>
    <w:rPr>
      <w:lang w:eastAsia="de-DE"/>
    </w:rPr>
  </w:style>
  <w:style w:type="paragraph" w:styleId="1">
    <w:name w:val="heading 1"/>
    <w:basedOn w:val="a1"/>
    <w:next w:val="a1"/>
    <w:qFormat/>
    <w:pPr>
      <w:keepNext/>
      <w:keepLines/>
      <w:suppressAutoHyphens/>
      <w:spacing w:before="360" w:after="240" w:line="300" w:lineRule="atLeast"/>
      <w:ind w:left="567" w:hanging="567"/>
      <w:jc w:val="left"/>
      <w:outlineLvl w:val="0"/>
    </w:pPr>
    <w:rPr>
      <w:b/>
      <w:sz w:val="24"/>
    </w:rPr>
  </w:style>
  <w:style w:type="paragraph" w:styleId="2">
    <w:name w:val="heading 2"/>
    <w:basedOn w:val="a1"/>
    <w:next w:val="a1"/>
    <w:qFormat/>
    <w:pPr>
      <w:keepNext/>
      <w:keepLines/>
      <w:suppressAutoHyphens/>
      <w:spacing w:before="360" w:after="160"/>
      <w:ind w:left="567" w:hanging="567"/>
      <w:outlineLvl w:val="1"/>
    </w:pPr>
    <w:rPr>
      <w:b/>
    </w:rPr>
  </w:style>
  <w:style w:type="paragraph" w:styleId="3">
    <w:name w:val="heading 3"/>
    <w:basedOn w:val="a1"/>
    <w:next w:val="a1"/>
    <w:link w:val="30"/>
    <w:qFormat/>
    <w:pPr>
      <w:spacing w:before="360"/>
      <w:ind w:firstLine="0"/>
      <w:outlineLvl w:val="2"/>
    </w:pPr>
  </w:style>
  <w:style w:type="paragraph" w:styleId="4">
    <w:name w:val="heading 4"/>
    <w:basedOn w:val="a1"/>
    <w:next w:val="a1"/>
    <w:qFormat/>
    <w:pPr>
      <w:spacing w:before="240"/>
      <w:ind w:firstLine="0"/>
      <w:outlineLvl w:val="3"/>
    </w:pPr>
  </w:style>
  <w:style w:type="paragraph" w:styleId="5">
    <w:name w:val="heading 5"/>
    <w:basedOn w:val="a1"/>
    <w:next w:val="a1"/>
    <w:qFormat/>
    <w:pPr>
      <w:spacing w:before="240"/>
      <w:ind w:firstLine="0"/>
      <w:outlineLvl w:val="4"/>
    </w:pPr>
  </w:style>
  <w:style w:type="paragraph" w:styleId="6">
    <w:name w:val="heading 6"/>
    <w:basedOn w:val="a1"/>
    <w:next w:val="a1"/>
    <w:qFormat/>
    <w:pPr>
      <w:spacing w:before="240"/>
      <w:ind w:firstLine="0"/>
      <w:outlineLvl w:val="5"/>
    </w:pPr>
  </w:style>
  <w:style w:type="paragraph" w:styleId="7">
    <w:name w:val="heading 7"/>
    <w:basedOn w:val="a1"/>
    <w:next w:val="a1"/>
    <w:qFormat/>
    <w:pPr>
      <w:spacing w:before="240"/>
      <w:ind w:firstLine="0"/>
      <w:outlineLvl w:val="6"/>
    </w:pPr>
  </w:style>
  <w:style w:type="paragraph" w:styleId="8">
    <w:name w:val="heading 8"/>
    <w:basedOn w:val="a1"/>
    <w:next w:val="a1"/>
    <w:qFormat/>
    <w:pPr>
      <w:spacing w:before="240"/>
      <w:ind w:firstLine="0"/>
      <w:outlineLvl w:val="7"/>
    </w:pPr>
  </w:style>
  <w:style w:type="paragraph" w:styleId="9">
    <w:name w:val="heading 9"/>
    <w:basedOn w:val="a1"/>
    <w:next w:val="a1"/>
    <w:qFormat/>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批注文字 字符"/>
    <w:link w:val="a6"/>
    <w:rPr>
      <w:lang w:eastAsia="de-DE"/>
    </w:rPr>
  </w:style>
  <w:style w:type="character" w:styleId="a7">
    <w:name w:val="page number"/>
    <w:rPr>
      <w:sz w:val="18"/>
    </w:rPr>
  </w:style>
  <w:style w:type="character" w:styleId="a8">
    <w:name w:val="Hyperlink"/>
    <w:rPr>
      <w:color w:val="auto"/>
      <w:u w:val="none"/>
    </w:rPr>
  </w:style>
  <w:style w:type="character" w:customStyle="1" w:styleId="a9">
    <w:name w:val="批注框文本 字符"/>
    <w:link w:val="aa"/>
    <w:rPr>
      <w:sz w:val="18"/>
      <w:szCs w:val="18"/>
      <w:lang w:eastAsia="de-DE"/>
    </w:rPr>
  </w:style>
  <w:style w:type="character" w:customStyle="1" w:styleId="e-mail">
    <w:name w:val="e-mail"/>
    <w:rPr>
      <w:rFonts w:ascii="Courier" w:hAnsi="Courier"/>
      <w:spacing w:val="-6"/>
      <w:lang w:val="en-US" w:eastAsia="zh-CN"/>
    </w:rPr>
  </w:style>
  <w:style w:type="character" w:styleId="ab">
    <w:name w:val="footnote reference"/>
    <w:rPr>
      <w:position w:val="0"/>
      <w:vertAlign w:val="superscript"/>
    </w:rPr>
  </w:style>
  <w:style w:type="character" w:styleId="ac">
    <w:name w:val="annotation reference"/>
    <w:rPr>
      <w:sz w:val="21"/>
      <w:szCs w:val="21"/>
    </w:rPr>
  </w:style>
  <w:style w:type="character" w:customStyle="1" w:styleId="heading4">
    <w:name w:val="heading4"/>
    <w:rPr>
      <w:i/>
    </w:rPr>
  </w:style>
  <w:style w:type="character" w:customStyle="1" w:styleId="heading3">
    <w:name w:val="heading3"/>
    <w:rPr>
      <w:b/>
    </w:rPr>
  </w:style>
  <w:style w:type="character" w:customStyle="1" w:styleId="ad">
    <w:name w:val="批注主题 字符"/>
    <w:link w:val="ae"/>
    <w:rPr>
      <w:b/>
      <w:bCs/>
      <w:lang w:eastAsia="de-DE"/>
    </w:rPr>
  </w:style>
  <w:style w:type="character" w:customStyle="1" w:styleId="url">
    <w:name w:val="url"/>
    <w:rPr>
      <w:rFonts w:ascii="Courier" w:hAnsi="Courier"/>
      <w:lang w:val="en-US" w:eastAsia="zh-CN"/>
    </w:rPr>
  </w:style>
  <w:style w:type="character" w:customStyle="1" w:styleId="30">
    <w:name w:val="标题 3 字符"/>
    <w:link w:val="3"/>
    <w:locked/>
    <w:rPr>
      <w:rFonts w:eastAsia="宋体"/>
      <w:lang w:val="en-US" w:eastAsia="de-DE" w:bidi="ar-SA"/>
    </w:rPr>
  </w:style>
  <w:style w:type="paragraph" w:styleId="a">
    <w:name w:val="List Number"/>
    <w:basedOn w:val="a1"/>
    <w:pPr>
      <w:numPr>
        <w:numId w:val="1"/>
      </w:numPr>
      <w:tabs>
        <w:tab w:val="left" w:pos="227"/>
      </w:tabs>
    </w:pPr>
  </w:style>
  <w:style w:type="paragraph" w:styleId="a0">
    <w:name w:val="List Bullet"/>
    <w:basedOn w:val="a1"/>
    <w:pPr>
      <w:numPr>
        <w:numId w:val="2"/>
      </w:numPr>
      <w:tabs>
        <w:tab w:val="left" w:pos="360"/>
      </w:tabs>
      <w:spacing w:before="120" w:after="120"/>
      <w:contextualSpacing/>
    </w:pPr>
  </w:style>
  <w:style w:type="paragraph" w:styleId="a6">
    <w:name w:val="annotation text"/>
    <w:basedOn w:val="a1"/>
    <w:link w:val="a5"/>
    <w:pPr>
      <w:jc w:val="left"/>
    </w:pPr>
  </w:style>
  <w:style w:type="paragraph" w:styleId="af">
    <w:name w:val="footer"/>
    <w:basedOn w:val="a1"/>
    <w:pPr>
      <w:tabs>
        <w:tab w:val="center" w:pos="4536"/>
        <w:tab w:val="right" w:pos="9072"/>
      </w:tabs>
    </w:pPr>
  </w:style>
  <w:style w:type="paragraph" w:styleId="aa">
    <w:name w:val="Balloon Text"/>
    <w:basedOn w:val="a1"/>
    <w:link w:val="a9"/>
    <w:pPr>
      <w:spacing w:line="240" w:lineRule="auto"/>
    </w:pPr>
    <w:rPr>
      <w:sz w:val="18"/>
      <w:szCs w:val="18"/>
    </w:rPr>
  </w:style>
  <w:style w:type="paragraph" w:styleId="af0">
    <w:name w:val="footnote text"/>
    <w:basedOn w:val="a1"/>
    <w:pPr>
      <w:spacing w:line="220" w:lineRule="atLeast"/>
      <w:ind w:left="227" w:hanging="227"/>
    </w:pPr>
    <w:rPr>
      <w:sz w:val="18"/>
    </w:rPr>
  </w:style>
  <w:style w:type="paragraph" w:styleId="af1">
    <w:name w:val="header"/>
    <w:basedOn w:val="a1"/>
    <w:pPr>
      <w:tabs>
        <w:tab w:val="center" w:pos="4536"/>
        <w:tab w:val="right" w:pos="9072"/>
      </w:tabs>
      <w:ind w:firstLine="0"/>
    </w:pPr>
    <w:rPr>
      <w:sz w:val="18"/>
    </w:rPr>
  </w:style>
  <w:style w:type="paragraph" w:styleId="ae">
    <w:name w:val="annotation subject"/>
    <w:basedOn w:val="a6"/>
    <w:next w:val="a6"/>
    <w:link w:val="ad"/>
    <w:rPr>
      <w:b/>
      <w:bCs/>
    </w:rPr>
  </w:style>
  <w:style w:type="paragraph" w:customStyle="1" w:styleId="10">
    <w:name w:val="标题1"/>
    <w:basedOn w:val="a1"/>
    <w:next w:val="author"/>
    <w:pPr>
      <w:keepNext/>
      <w:keepLines/>
      <w:suppressAutoHyphens/>
      <w:spacing w:after="480" w:line="360" w:lineRule="atLeast"/>
      <w:ind w:firstLine="0"/>
      <w:jc w:val="center"/>
    </w:pPr>
    <w:rPr>
      <w:b/>
      <w:sz w:val="28"/>
    </w:rPr>
  </w:style>
  <w:style w:type="paragraph" w:customStyle="1" w:styleId="image">
    <w:name w:val="image"/>
    <w:basedOn w:val="a1"/>
    <w:next w:val="a1"/>
    <w:pPr>
      <w:spacing w:before="240" w:after="120"/>
      <w:ind w:firstLine="0"/>
      <w:jc w:val="center"/>
    </w:pPr>
  </w:style>
  <w:style w:type="paragraph" w:customStyle="1" w:styleId="bulletitem">
    <w:name w:val="bulletitem"/>
    <w:basedOn w:val="a1"/>
    <w:pPr>
      <w:numPr>
        <w:numId w:val="3"/>
      </w:numPr>
      <w:tabs>
        <w:tab w:val="left" w:pos="227"/>
      </w:tabs>
      <w:spacing w:before="160" w:after="160"/>
      <w:contextualSpacing/>
    </w:pPr>
  </w:style>
  <w:style w:type="paragraph" w:customStyle="1" w:styleId="author">
    <w:name w:val="author"/>
    <w:basedOn w:val="a1"/>
    <w:next w:val="address"/>
    <w:pPr>
      <w:suppressAutoHyphens/>
      <w:spacing w:after="200"/>
      <w:ind w:firstLine="0"/>
      <w:jc w:val="center"/>
    </w:pPr>
  </w:style>
  <w:style w:type="paragraph" w:customStyle="1" w:styleId="abstract">
    <w:name w:val="abstract"/>
    <w:basedOn w:val="a1"/>
    <w:pPr>
      <w:spacing w:before="600" w:after="360" w:line="220" w:lineRule="atLeast"/>
      <w:ind w:left="567" w:right="567" w:firstLine="0"/>
      <w:contextualSpacing/>
    </w:pPr>
    <w:rPr>
      <w:sz w:val="18"/>
    </w:rPr>
  </w:style>
  <w:style w:type="paragraph" w:customStyle="1" w:styleId="heading1">
    <w:name w:val="heading1"/>
    <w:basedOn w:val="1"/>
    <w:next w:val="a1"/>
    <w:pPr>
      <w:numPr>
        <w:numId w:val="4"/>
      </w:numPr>
      <w:tabs>
        <w:tab w:val="left" w:pos="567"/>
      </w:tabs>
    </w:pPr>
    <w:rPr>
      <w:bCs/>
    </w:rPr>
  </w:style>
  <w:style w:type="paragraph" w:customStyle="1" w:styleId="figurecaption">
    <w:name w:val="figurecaption"/>
    <w:basedOn w:val="a1"/>
    <w:next w:val="a1"/>
    <w:pPr>
      <w:keepLines/>
      <w:spacing w:before="120" w:after="240" w:line="220" w:lineRule="atLeast"/>
      <w:ind w:firstLine="0"/>
      <w:jc w:val="center"/>
    </w:pPr>
    <w:rPr>
      <w:sz w:val="18"/>
    </w:rPr>
  </w:style>
  <w:style w:type="paragraph" w:customStyle="1" w:styleId="address">
    <w:name w:val="address"/>
    <w:basedOn w:val="a1"/>
    <w:pPr>
      <w:suppressAutoHyphens/>
      <w:spacing w:after="200" w:line="220" w:lineRule="atLeast"/>
      <w:ind w:firstLine="0"/>
      <w:contextualSpacing/>
      <w:jc w:val="center"/>
    </w:pPr>
    <w:rPr>
      <w:sz w:val="18"/>
    </w:rPr>
  </w:style>
  <w:style w:type="paragraph" w:customStyle="1" w:styleId="keywords">
    <w:name w:val="keywords"/>
    <w:basedOn w:val="abstract"/>
    <w:next w:val="heading1"/>
    <w:pPr>
      <w:spacing w:before="220"/>
    </w:pPr>
  </w:style>
  <w:style w:type="paragraph" w:customStyle="1" w:styleId="dashitem">
    <w:name w:val="dashitem"/>
    <w:basedOn w:val="a1"/>
    <w:pPr>
      <w:numPr>
        <w:numId w:val="5"/>
      </w:numPr>
      <w:tabs>
        <w:tab w:val="left" w:pos="227"/>
      </w:tabs>
      <w:spacing w:before="160" w:after="160"/>
      <w:contextualSpacing/>
    </w:pPr>
  </w:style>
  <w:style w:type="paragraph" w:customStyle="1" w:styleId="equation">
    <w:name w:val="equation"/>
    <w:basedOn w:val="a1"/>
    <w:next w:val="a1"/>
    <w:pPr>
      <w:tabs>
        <w:tab w:val="center" w:pos="3289"/>
        <w:tab w:val="right" w:pos="6917"/>
      </w:tabs>
      <w:spacing w:before="160" w:after="160"/>
      <w:ind w:firstLine="0"/>
    </w:pPr>
  </w:style>
  <w:style w:type="paragraph" w:customStyle="1" w:styleId="programcode">
    <w:name w:val="programcode"/>
    <w:basedOn w:val="a1"/>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p1a">
    <w:name w:val="p1a"/>
    <w:basedOn w:val="a1"/>
    <w:pPr>
      <w:ind w:firstLine="0"/>
    </w:pPr>
  </w:style>
  <w:style w:type="paragraph" w:customStyle="1" w:styleId="heading2">
    <w:name w:val="heading2"/>
    <w:basedOn w:val="2"/>
    <w:next w:val="a1"/>
    <w:pPr>
      <w:numPr>
        <w:ilvl w:val="1"/>
        <w:numId w:val="4"/>
      </w:numPr>
    </w:pPr>
    <w:rPr>
      <w:bCs/>
      <w:iCs/>
    </w:rPr>
  </w:style>
  <w:style w:type="paragraph" w:customStyle="1" w:styleId="numitem">
    <w:name w:val="numitem"/>
    <w:basedOn w:val="a1"/>
    <w:pPr>
      <w:numPr>
        <w:numId w:val="6"/>
      </w:numPr>
      <w:tabs>
        <w:tab w:val="left" w:pos="0"/>
      </w:tabs>
      <w:spacing w:before="160" w:after="160"/>
      <w:contextualSpacing/>
    </w:pPr>
  </w:style>
  <w:style w:type="paragraph" w:customStyle="1" w:styleId="referenceitem">
    <w:name w:val="referenceitem"/>
    <w:basedOn w:val="a1"/>
    <w:pPr>
      <w:numPr>
        <w:numId w:val="7"/>
      </w:numPr>
      <w:tabs>
        <w:tab w:val="left" w:pos="340"/>
      </w:tabs>
      <w:spacing w:line="220" w:lineRule="atLeast"/>
    </w:pPr>
    <w:rPr>
      <w:sz w:val="18"/>
    </w:rPr>
  </w:style>
  <w:style w:type="paragraph" w:customStyle="1" w:styleId="runninghead-left">
    <w:name w:val="running head - left"/>
    <w:basedOn w:val="a1"/>
    <w:pPr>
      <w:ind w:firstLine="0"/>
      <w:jc w:val="left"/>
    </w:pPr>
    <w:rPr>
      <w:sz w:val="18"/>
      <w:szCs w:val="18"/>
    </w:rPr>
  </w:style>
  <w:style w:type="paragraph" w:customStyle="1" w:styleId="11">
    <w:name w:val="正文1"/>
    <w:pPr>
      <w:widowControl w:val="0"/>
      <w:jc w:val="both"/>
    </w:pPr>
    <w:rPr>
      <w:kern w:val="2"/>
      <w:sz w:val="21"/>
      <w:szCs w:val="21"/>
    </w:rPr>
  </w:style>
  <w:style w:type="paragraph" w:customStyle="1" w:styleId="runninghead-right">
    <w:name w:val="running head - right"/>
    <w:basedOn w:val="a1"/>
    <w:pPr>
      <w:ind w:firstLine="0"/>
      <w:jc w:val="right"/>
    </w:pPr>
    <w:rPr>
      <w:bCs/>
      <w:sz w:val="18"/>
      <w:szCs w:val="18"/>
    </w:rPr>
  </w:style>
  <w:style w:type="paragraph" w:customStyle="1" w:styleId="12">
    <w:name w:val="副标题1"/>
    <w:basedOn w:val="10"/>
    <w:next w:val="author"/>
    <w:pPr>
      <w:spacing w:before="120" w:line="280" w:lineRule="atLeast"/>
    </w:pPr>
    <w:rPr>
      <w:sz w:val="24"/>
    </w:rPr>
  </w:style>
  <w:style w:type="paragraph" w:customStyle="1" w:styleId="tablecaption">
    <w:name w:val="tablecaption"/>
    <w:basedOn w:val="a1"/>
    <w:next w:val="a1"/>
    <w:pPr>
      <w:keepNext/>
      <w:keepLines/>
      <w:spacing w:before="240" w:after="120" w:line="220" w:lineRule="atLeast"/>
      <w:ind w:firstLine="0"/>
      <w:jc w:val="center"/>
    </w:pPr>
    <w:rPr>
      <w:sz w:val="18"/>
      <w:lang w:val="de-DE"/>
    </w:rPr>
  </w:style>
  <w:style w:type="table" w:styleId="af2">
    <w:name w:val="Table Grid"/>
    <w:basedOn w:val="a3"/>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ng\Documents\Microsoft+Word+2003+Proceedings+Templates%20(1)\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113</TotalTime>
  <Pages>12</Pages>
  <Words>11663</Words>
  <Characters>66484</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Titel</vt:lpstr>
    </vt:vector>
  </TitlesOfParts>
  <Company>dataspect IT-Services</Company>
  <LinksUpToDate>false</LinksUpToDate>
  <CharactersWithSpaces>77992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319853809@qq.com</dc:creator>
  <cp:keywords/>
  <dc:description/>
  <cp:lastModifiedBy>罗 婧文</cp:lastModifiedBy>
  <cp:revision>14</cp:revision>
  <cp:lastPrinted>2011-02-21T17:47:00Z</cp:lastPrinted>
  <dcterms:created xsi:type="dcterms:W3CDTF">2021-03-15T16:02:00Z</dcterms:created>
  <dcterms:modified xsi:type="dcterms:W3CDTF">2021-03-15T19:06:00Z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44867515-6dbe-37a3-b335-17afd30a3bd6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2052-11.1.0.10314</vt:lpwstr>
  </property>
</Properties>
</file>