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商法重点摘要：</w:t>
      </w:r>
    </w:p>
    <w:p>
      <w:pPr>
        <w:rPr>
          <w:rFonts w:hint="eastAsia"/>
          <w:lang w:val="en-US" w:eastAsia="zh-CN"/>
        </w:rPr>
      </w:pPr>
      <w:r>
        <w:rPr>
          <w:rFonts w:hint="eastAsia"/>
          <w:lang w:val="en-US" w:eastAsia="zh-CN"/>
        </w:rPr>
        <w:t>证券法</w:t>
      </w:r>
    </w:p>
    <w:p>
      <w:pPr>
        <w:numPr>
          <w:ilvl w:val="0"/>
          <w:numId w:val="0"/>
        </w:numPr>
        <w:rPr>
          <w:rFonts w:hint="eastAsia"/>
          <w:lang w:val="en-US" w:eastAsia="zh-CN"/>
        </w:rPr>
      </w:pPr>
      <w:r>
        <w:rPr>
          <w:rFonts w:hint="eastAsia"/>
          <w:lang w:val="en-US" w:eastAsia="zh-CN"/>
        </w:rPr>
        <w:t>一、概括而言是什么？</w:t>
      </w:r>
    </w:p>
    <w:p>
      <w:pPr>
        <w:numPr>
          <w:ilvl w:val="0"/>
          <w:numId w:val="0"/>
        </w:numPr>
        <w:rPr>
          <w:rFonts w:hint="eastAsia"/>
          <w:lang w:val="en-US" w:eastAsia="zh-CN"/>
        </w:rPr>
      </w:pPr>
      <w:r>
        <w:rPr>
          <w:rFonts w:hint="eastAsia"/>
          <w:lang w:val="en-US" w:eastAsia="zh-CN"/>
        </w:rPr>
        <w:t>证券是记载并代表一定权利的凭证；</w:t>
      </w:r>
    </w:p>
    <w:p>
      <w:pPr>
        <w:numPr>
          <w:ilvl w:val="0"/>
          <w:numId w:val="0"/>
        </w:numPr>
        <w:ind w:leftChars="0"/>
        <w:rPr>
          <w:rFonts w:hint="eastAsia"/>
          <w:lang w:val="en-US" w:eastAsia="zh-CN"/>
        </w:rPr>
      </w:pPr>
      <w:r>
        <w:rPr>
          <w:rFonts w:hint="eastAsia"/>
          <w:lang w:val="en-US" w:eastAsia="zh-CN"/>
        </w:rPr>
        <w:t>二、对于投资者和资金需求者双方利害目的不同；</w:t>
      </w:r>
    </w:p>
    <w:p>
      <w:pPr>
        <w:numPr>
          <w:ilvl w:val="0"/>
          <w:numId w:val="0"/>
        </w:numPr>
        <w:ind w:leftChars="0"/>
        <w:rPr>
          <w:rFonts w:hint="eastAsia"/>
          <w:lang w:val="en-US" w:eastAsia="zh-CN"/>
        </w:rPr>
      </w:pPr>
      <w:r>
        <w:rPr>
          <w:rFonts w:hint="eastAsia"/>
          <w:lang w:val="en-US" w:eastAsia="zh-CN"/>
        </w:rPr>
        <w:t>证券是指资金需求者为了筹措年中长期资金而向公众发放，由社会公众购买且能对一定的收益拥有请求权的投资凭证；</w:t>
      </w:r>
    </w:p>
    <w:p>
      <w:pPr>
        <w:numPr>
          <w:ilvl w:val="0"/>
          <w:numId w:val="0"/>
        </w:numPr>
        <w:ind w:leftChars="0"/>
        <w:rPr>
          <w:rFonts w:hint="eastAsia"/>
          <w:lang w:val="en-US" w:eastAsia="zh-CN"/>
        </w:rPr>
      </w:pPr>
      <w:r>
        <w:rPr>
          <w:rFonts w:hint="eastAsia"/>
          <w:lang w:val="en-US" w:eastAsia="zh-CN"/>
        </w:rPr>
        <w:t>三、法律特征：</w:t>
      </w:r>
    </w:p>
    <w:p>
      <w:pPr>
        <w:numPr>
          <w:ilvl w:val="0"/>
          <w:numId w:val="0"/>
        </w:numPr>
        <w:ind w:leftChars="0"/>
        <w:rPr>
          <w:rFonts w:hint="eastAsia"/>
          <w:lang w:val="en-US" w:eastAsia="zh-CN"/>
        </w:rPr>
      </w:pPr>
      <w:r>
        <w:rPr>
          <w:rFonts w:hint="eastAsia"/>
          <w:lang w:val="en-US" w:eastAsia="zh-CN"/>
        </w:rPr>
        <w:t>1.投资权利证书；2.面值均等的权利证书；3.可转让的权利证书；4.含有风险的权利证书；</w:t>
      </w:r>
    </w:p>
    <w:p>
      <w:pPr>
        <w:numPr>
          <w:ilvl w:val="0"/>
          <w:numId w:val="0"/>
        </w:numPr>
        <w:ind w:leftChars="0"/>
        <w:rPr>
          <w:rFonts w:hint="eastAsia"/>
          <w:lang w:val="en-US" w:eastAsia="zh-CN"/>
        </w:rPr>
      </w:pPr>
      <w:r>
        <w:rPr>
          <w:rFonts w:hint="eastAsia"/>
          <w:lang w:val="en-US" w:eastAsia="zh-CN"/>
        </w:rPr>
        <w:t>四、证券的分类：</w:t>
      </w:r>
    </w:p>
    <w:p>
      <w:pPr>
        <w:numPr>
          <w:ilvl w:val="0"/>
          <w:numId w:val="0"/>
        </w:numPr>
        <w:ind w:leftChars="0"/>
        <w:rPr>
          <w:rFonts w:hint="eastAsia"/>
          <w:lang w:val="en-US" w:eastAsia="zh-CN"/>
        </w:rPr>
      </w:pPr>
      <w:r>
        <w:rPr>
          <w:rFonts w:hint="eastAsia"/>
          <w:lang w:val="en-US" w:eastAsia="zh-CN"/>
        </w:rPr>
        <w:t>1.货币证券（汇本支）；2.资本证券（股票，债券）；3.商品证券（仓单、提单）；---有价证券</w:t>
      </w:r>
    </w:p>
    <w:p>
      <w:pPr>
        <w:numPr>
          <w:ilvl w:val="0"/>
          <w:numId w:val="0"/>
        </w:numPr>
        <w:ind w:leftChars="0"/>
        <w:rPr>
          <w:rFonts w:hint="eastAsia"/>
          <w:lang w:val="en-US" w:eastAsia="zh-CN"/>
        </w:rPr>
      </w:pPr>
      <w:r>
        <w:rPr>
          <w:rFonts w:hint="eastAsia"/>
          <w:lang w:val="en-US" w:eastAsia="zh-CN"/>
        </w:rPr>
        <w:t>2.资格证券、免责证券---无价证券；</w:t>
      </w:r>
    </w:p>
    <w:p>
      <w:pPr>
        <w:numPr>
          <w:ilvl w:val="0"/>
          <w:numId w:val="0"/>
        </w:numPr>
        <w:ind w:leftChars="0"/>
        <w:rPr>
          <w:rFonts w:hint="default"/>
          <w:lang w:val="en-US" w:eastAsia="zh-CN"/>
        </w:rPr>
      </w:pPr>
      <w:r>
        <w:rPr>
          <w:rFonts w:hint="eastAsia"/>
          <w:lang w:val="en-US" w:eastAsia="zh-CN"/>
        </w:rPr>
        <w:t>五、证券性质</w:t>
      </w:r>
    </w:p>
    <w:p>
      <w:pPr>
        <w:numPr>
          <w:ilvl w:val="0"/>
          <w:numId w:val="0"/>
        </w:numPr>
        <w:ind w:leftChars="0"/>
        <w:rPr>
          <w:rFonts w:hint="eastAsia"/>
          <w:lang w:val="en-US" w:eastAsia="zh-CN"/>
        </w:rPr>
      </w:pPr>
      <w:r>
        <w:rPr>
          <w:rFonts w:hint="eastAsia"/>
          <w:lang w:val="en-US" w:eastAsia="zh-CN"/>
        </w:rPr>
        <w:t>1.股票；2.债券；3.存托凭证；4.投资基金证券；5.资产支持证券、其他衍生金融工具；</w:t>
      </w:r>
    </w:p>
    <w:p>
      <w:pPr>
        <w:numPr>
          <w:ilvl w:val="0"/>
          <w:numId w:val="0"/>
        </w:numPr>
        <w:ind w:leftChars="0"/>
        <w:rPr>
          <w:rFonts w:hint="eastAsia"/>
          <w:lang w:val="en-US" w:eastAsia="zh-CN"/>
        </w:rPr>
      </w:pPr>
      <w:r>
        <w:rPr>
          <w:rFonts w:hint="eastAsia"/>
          <w:lang w:val="en-US" w:eastAsia="zh-CN"/>
        </w:rPr>
        <w:t>六、关于存托凭证的理解</w:t>
      </w:r>
    </w:p>
    <w:p>
      <w:pPr>
        <w:numPr>
          <w:ilvl w:val="0"/>
          <w:numId w:val="0"/>
        </w:numPr>
        <w:ind w:leftChars="0"/>
        <w:rPr>
          <w:rFonts w:hint="eastAsia"/>
          <w:lang w:val="en-US" w:eastAsia="zh-CN"/>
        </w:rPr>
      </w:pPr>
      <w:r>
        <w:rPr>
          <w:rFonts w:hint="eastAsia"/>
          <w:lang w:val="en-US" w:eastAsia="zh-CN"/>
        </w:rPr>
        <w:t>存托凭证是指由存托人签发、以境外证券为基础在中国境内发行、代表境外基础证券权益的证券。（《存托凭证发行与交易管理办法（试行）第二条）</w:t>
      </w:r>
    </w:p>
    <w:p>
      <w:pPr>
        <w:numPr>
          <w:ilvl w:val="0"/>
          <w:numId w:val="0"/>
        </w:numPr>
        <w:ind w:leftChars="0"/>
        <w:rPr>
          <w:rFonts w:hint="eastAsia"/>
          <w:lang w:val="en-US" w:eastAsia="zh-CN"/>
        </w:rPr>
      </w:pPr>
      <w:r>
        <w:drawing>
          <wp:inline distT="0" distB="0" distL="114300" distR="114300">
            <wp:extent cx="5763895" cy="2797810"/>
            <wp:effectExtent l="0" t="0" r="1905"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763895" cy="2797810"/>
                    </a:xfrm>
                    <a:prstGeom prst="rect">
                      <a:avLst/>
                    </a:prstGeom>
                  </pic:spPr>
                </pic:pic>
              </a:graphicData>
            </a:graphic>
          </wp:inline>
        </w:drawing>
      </w:r>
    </w:p>
    <w:p>
      <w:pPr>
        <w:numPr>
          <w:ilvl w:val="0"/>
          <w:numId w:val="1"/>
        </w:numPr>
        <w:ind w:leftChars="0"/>
        <w:rPr>
          <w:rFonts w:hint="eastAsia"/>
          <w:lang w:val="en-US" w:eastAsia="zh-CN"/>
        </w:rPr>
      </w:pPr>
      <w:r>
        <w:rPr>
          <w:rFonts w:hint="eastAsia"/>
          <w:lang w:val="en-US" w:eastAsia="zh-CN"/>
        </w:rPr>
        <w:t>证券法的适用范围：</w:t>
      </w:r>
    </w:p>
    <w:p>
      <w:pPr>
        <w:numPr>
          <w:ilvl w:val="0"/>
          <w:numId w:val="2"/>
        </w:numPr>
        <w:rPr>
          <w:rFonts w:hint="eastAsia"/>
          <w:lang w:val="en-US" w:eastAsia="zh-CN"/>
        </w:rPr>
      </w:pPr>
      <w:r>
        <w:rPr>
          <w:rFonts w:hint="eastAsia"/>
          <w:lang w:val="en-US" w:eastAsia="zh-CN"/>
        </w:rPr>
        <w:t>存托凭证是法定证券；授权国务院按照证券法的原则规定发行、交易，解决多头监管的问题；</w:t>
      </w:r>
    </w:p>
    <w:p>
      <w:pPr>
        <w:numPr>
          <w:ilvl w:val="0"/>
          <w:numId w:val="1"/>
        </w:numPr>
        <w:ind w:left="0" w:leftChars="0" w:firstLine="0" w:firstLineChars="0"/>
        <w:rPr>
          <w:rFonts w:hint="eastAsia"/>
          <w:lang w:val="en-US" w:eastAsia="zh-CN"/>
        </w:rPr>
      </w:pPr>
      <w:r>
        <w:rPr>
          <w:rFonts w:hint="eastAsia"/>
          <w:lang w:val="en-US" w:eastAsia="zh-CN"/>
        </w:rPr>
        <w:t>证券市场</w:t>
      </w:r>
    </w:p>
    <w:p>
      <w:pPr>
        <w:numPr>
          <w:ilvl w:val="0"/>
          <w:numId w:val="0"/>
        </w:numPr>
        <w:ind w:leftChars="0"/>
        <w:rPr>
          <w:rFonts w:hint="eastAsia"/>
          <w:lang w:val="en-US" w:eastAsia="zh-CN"/>
        </w:rPr>
      </w:pPr>
      <w:r>
        <w:rPr>
          <w:rFonts w:hint="eastAsia"/>
          <w:lang w:val="en-US" w:eastAsia="zh-CN"/>
        </w:rPr>
        <w:t>证券市场是包括证券投资活动全过程在内的证券供求交易的网络和体系，是金融市场的重要组成部分，因所筹资金通常被用作固定资产投资，又被称为资本市场；</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证券法的概念理解：</w:t>
      </w:r>
    </w:p>
    <w:p>
      <w:pPr>
        <w:numPr>
          <w:ilvl w:val="0"/>
          <w:numId w:val="0"/>
        </w:numPr>
        <w:ind w:leftChars="0"/>
        <w:rPr>
          <w:rFonts w:hint="eastAsia"/>
          <w:lang w:val="en-US" w:eastAsia="zh-CN"/>
        </w:rPr>
      </w:pPr>
      <w:r>
        <w:rPr>
          <w:rFonts w:hint="eastAsia"/>
          <w:lang w:val="en-US" w:eastAsia="zh-CN"/>
        </w:rPr>
        <w:t>证券法是关于证券</w:t>
      </w:r>
      <w:r>
        <w:rPr>
          <w:rFonts w:hint="eastAsia"/>
          <w:b/>
          <w:bCs/>
          <w:highlight w:val="yellow"/>
          <w:lang w:val="en-US" w:eastAsia="zh-CN"/>
        </w:rPr>
        <w:t>募集、发行、交易、服务</w:t>
      </w:r>
      <w:r>
        <w:rPr>
          <w:rFonts w:hint="eastAsia"/>
          <w:lang w:val="en-US" w:eastAsia="zh-CN"/>
        </w:rPr>
        <w:t>以及证券市场进行</w:t>
      </w:r>
      <w:r>
        <w:rPr>
          <w:rFonts w:hint="eastAsia"/>
          <w:b/>
          <w:bCs/>
          <w:highlight w:val="yellow"/>
          <w:lang w:val="en-US" w:eastAsia="zh-CN"/>
        </w:rPr>
        <w:t>监督管理</w:t>
      </w:r>
      <w:r>
        <w:rPr>
          <w:rFonts w:hint="eastAsia"/>
          <w:lang w:val="en-US" w:eastAsia="zh-CN"/>
        </w:rPr>
        <w:t>的法律规范的总和；</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证券法的原则</w:t>
      </w:r>
    </w:p>
    <w:p>
      <w:pPr>
        <w:numPr>
          <w:ilvl w:val="0"/>
          <w:numId w:val="3"/>
        </w:numPr>
        <w:ind w:leftChars="0"/>
        <w:rPr>
          <w:rFonts w:hint="eastAsia"/>
          <w:lang w:val="en-US" w:eastAsia="zh-CN"/>
        </w:rPr>
      </w:pPr>
      <w:r>
        <w:rPr>
          <w:rFonts w:hint="eastAsia"/>
          <w:lang w:val="en-US" w:eastAsia="zh-CN"/>
        </w:rPr>
        <w:t>公开原则；2.公平原则；3.公平原则；</w:t>
      </w:r>
    </w:p>
    <w:p>
      <w:pPr>
        <w:numPr>
          <w:ilvl w:val="0"/>
          <w:numId w:val="1"/>
        </w:numPr>
        <w:ind w:left="0" w:leftChars="0" w:firstLine="0" w:firstLineChars="0"/>
        <w:rPr>
          <w:rFonts w:hint="eastAsia"/>
          <w:lang w:val="en-US" w:eastAsia="zh-CN"/>
        </w:rPr>
      </w:pPr>
      <w:r>
        <w:rPr>
          <w:rFonts w:hint="eastAsia"/>
          <w:lang w:val="en-US" w:eastAsia="zh-CN"/>
        </w:rPr>
        <w:t>公开发行的条件：</w:t>
      </w:r>
    </w:p>
    <w:p>
      <w:pPr>
        <w:numPr>
          <w:ilvl w:val="0"/>
          <w:numId w:val="4"/>
        </w:numPr>
        <w:ind w:leftChars="0"/>
        <w:rPr>
          <w:rFonts w:hint="eastAsia"/>
          <w:lang w:val="en-US" w:eastAsia="zh-CN"/>
        </w:rPr>
      </w:pPr>
      <w:r>
        <w:rPr>
          <w:rFonts w:hint="eastAsia"/>
          <w:lang w:val="en-US" w:eastAsia="zh-CN"/>
        </w:rPr>
        <w:t>向不特定对象发行证券；</w:t>
      </w:r>
    </w:p>
    <w:p>
      <w:pPr>
        <w:numPr>
          <w:ilvl w:val="0"/>
          <w:numId w:val="4"/>
        </w:numPr>
        <w:ind w:leftChars="0"/>
        <w:rPr>
          <w:rFonts w:hint="default"/>
          <w:lang w:val="en-US" w:eastAsia="zh-CN"/>
        </w:rPr>
      </w:pPr>
      <w:r>
        <w:rPr>
          <w:rFonts w:hint="eastAsia"/>
          <w:lang w:val="en-US" w:eastAsia="zh-CN"/>
        </w:rPr>
        <w:t>向特定对象发行证券超过二百人；</w:t>
      </w:r>
    </w:p>
    <w:p>
      <w:pPr>
        <w:numPr>
          <w:ilvl w:val="0"/>
          <w:numId w:val="4"/>
        </w:numPr>
        <w:ind w:leftChars="0"/>
        <w:rPr>
          <w:rFonts w:hint="default"/>
          <w:lang w:val="en-US" w:eastAsia="zh-CN"/>
        </w:rPr>
      </w:pPr>
      <w:r>
        <w:rPr>
          <w:rFonts w:hint="eastAsia"/>
          <w:lang w:val="en-US" w:eastAsia="zh-CN"/>
        </w:rPr>
        <w:t>向特定对象发行证券累计超过二百人，但依法实施员工持股计划的员工人数不计算在内你；</w:t>
      </w:r>
    </w:p>
    <w:p>
      <w:pPr>
        <w:numPr>
          <w:ilvl w:val="0"/>
          <w:numId w:val="0"/>
        </w:numPr>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证券发行的分类：</w:t>
      </w:r>
    </w:p>
    <w:p>
      <w:pPr>
        <w:numPr>
          <w:ilvl w:val="0"/>
          <w:numId w:val="0"/>
        </w:numPr>
        <w:ind w:leftChars="0"/>
        <w:rPr>
          <w:rFonts w:hint="default"/>
          <w:lang w:val="en-US" w:eastAsia="zh-CN"/>
        </w:rPr>
      </w:pPr>
      <w:r>
        <w:drawing>
          <wp:inline distT="0" distB="0" distL="114300" distR="114300">
            <wp:extent cx="4902200" cy="275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902200" cy="2755900"/>
                    </a:xfrm>
                    <a:prstGeom prst="rect">
                      <a:avLst/>
                    </a:prstGeom>
                    <a:noFill/>
                    <a:ln>
                      <a:noFill/>
                    </a:ln>
                  </pic:spPr>
                </pic:pic>
              </a:graphicData>
            </a:graphic>
          </wp:inline>
        </w:drawing>
      </w:r>
    </w:p>
    <w:p>
      <w:pPr>
        <w:numPr>
          <w:ilvl w:val="0"/>
          <w:numId w:val="0"/>
        </w:numPr>
      </w:pPr>
      <w:r>
        <w:drawing>
          <wp:inline distT="0" distB="0" distL="114300" distR="114300">
            <wp:extent cx="4946650" cy="27495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946650" cy="274955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4908550" cy="28384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08550" cy="2838450"/>
                    </a:xfrm>
                    <a:prstGeom prst="rect">
                      <a:avLst/>
                    </a:prstGeom>
                    <a:noFill/>
                    <a:ln>
                      <a:noFill/>
                    </a:ln>
                  </pic:spPr>
                </pic:pic>
              </a:graphicData>
            </a:graphic>
          </wp:inline>
        </w:drawing>
      </w:r>
    </w:p>
    <w:p>
      <w:pPr>
        <w:numPr>
          <w:ilvl w:val="0"/>
          <w:numId w:val="0"/>
        </w:numPr>
      </w:pPr>
      <w:r>
        <w:drawing>
          <wp:inline distT="0" distB="0" distL="114300" distR="114300">
            <wp:extent cx="4933950" cy="27813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933950" cy="2781300"/>
                    </a:xfrm>
                    <a:prstGeom prst="rect">
                      <a:avLst/>
                    </a:prstGeom>
                    <a:noFill/>
                    <a:ln>
                      <a:noFill/>
                    </a:ln>
                  </pic:spPr>
                </pic:pic>
              </a:graphicData>
            </a:graphic>
          </wp:inline>
        </w:drawing>
      </w:r>
    </w:p>
    <w:p>
      <w:pPr>
        <w:numPr>
          <w:ilvl w:val="0"/>
          <w:numId w:val="0"/>
        </w:numPr>
      </w:pPr>
      <w:r>
        <w:drawing>
          <wp:inline distT="0" distB="0" distL="114300" distR="114300">
            <wp:extent cx="4914900" cy="292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914900" cy="2921000"/>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证券保荐制度</w:t>
      </w:r>
    </w:p>
    <w:p>
      <w:pPr>
        <w:numPr>
          <w:ilvl w:val="0"/>
          <w:numId w:val="0"/>
        </w:numPr>
        <w:ind w:leftChars="0"/>
        <w:rPr>
          <w:rFonts w:hint="eastAsia"/>
          <w:lang w:val="en-US" w:eastAsia="zh-CN"/>
        </w:rPr>
      </w:pPr>
    </w:p>
    <w:p>
      <w:pPr>
        <w:numPr>
          <w:ilvl w:val="0"/>
          <w:numId w:val="1"/>
        </w:numPr>
        <w:ind w:left="0" w:leftChars="0" w:firstLine="0" w:firstLineChars="0"/>
        <w:rPr>
          <w:rFonts w:hint="default"/>
          <w:lang w:val="en-US" w:eastAsia="zh-CN"/>
        </w:rPr>
      </w:pPr>
      <w:r>
        <w:rPr>
          <w:rFonts w:hint="eastAsia"/>
          <w:lang w:val="en-US" w:eastAsia="zh-CN"/>
        </w:rPr>
        <w:t>证券法规定证券发行</w:t>
      </w:r>
      <w:r>
        <w:rPr>
          <w:rFonts w:hint="eastAsia"/>
          <w:color w:val="C00000"/>
          <w:highlight w:val="yellow"/>
          <w:lang w:val="en-US" w:eastAsia="zh-CN"/>
        </w:rPr>
        <w:t>实行注册制</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新证券法建立严格的欺诈发行股票回购机制；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十六、</w:t>
      </w:r>
      <w:bookmarkStart w:id="0" w:name="_GoBack"/>
      <w:bookmarkEnd w:id="0"/>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0"/>
        </w:num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244937"/>
    <w:multiLevelType w:val="singleLevel"/>
    <w:tmpl w:val="FB244937"/>
    <w:lvl w:ilvl="0" w:tentative="0">
      <w:start w:val="1"/>
      <w:numFmt w:val="decimal"/>
      <w:lvlText w:val="%1."/>
      <w:lvlJc w:val="left"/>
      <w:pPr>
        <w:tabs>
          <w:tab w:val="left" w:pos="312"/>
        </w:tabs>
      </w:pPr>
    </w:lvl>
  </w:abstractNum>
  <w:abstractNum w:abstractNumId="1">
    <w:nsid w:val="35DD0974"/>
    <w:multiLevelType w:val="singleLevel"/>
    <w:tmpl w:val="35DD0974"/>
    <w:lvl w:ilvl="0" w:tentative="0">
      <w:start w:val="7"/>
      <w:numFmt w:val="chineseCounting"/>
      <w:suff w:val="nothing"/>
      <w:lvlText w:val="%1、"/>
      <w:lvlJc w:val="left"/>
      <w:rPr>
        <w:rFonts w:hint="eastAsia"/>
      </w:rPr>
    </w:lvl>
  </w:abstractNum>
  <w:abstractNum w:abstractNumId="2">
    <w:nsid w:val="4A069315"/>
    <w:multiLevelType w:val="singleLevel"/>
    <w:tmpl w:val="4A069315"/>
    <w:lvl w:ilvl="0" w:tentative="0">
      <w:start w:val="1"/>
      <w:numFmt w:val="decimal"/>
      <w:lvlText w:val="%1."/>
      <w:lvlJc w:val="left"/>
      <w:pPr>
        <w:tabs>
          <w:tab w:val="left" w:pos="312"/>
        </w:tabs>
      </w:pPr>
    </w:lvl>
  </w:abstractNum>
  <w:abstractNum w:abstractNumId="3">
    <w:nsid w:val="733BA165"/>
    <w:multiLevelType w:val="singleLevel"/>
    <w:tmpl w:val="733BA165"/>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FiMTQzM2VhYmIxMWFjMDg2NTUyMWM0NjlhNTNjZTMifQ=="/>
  </w:docVars>
  <w:rsids>
    <w:rsidRoot w:val="5235259A"/>
    <w:rsid w:val="29745947"/>
    <w:rsid w:val="5235259A"/>
    <w:rsid w:val="5E571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668</Words>
  <Characters>687</Characters>
  <Lines>0</Lines>
  <Paragraphs>0</Paragraphs>
  <TotalTime>135</TotalTime>
  <ScaleCrop>false</ScaleCrop>
  <LinksUpToDate>false</LinksUpToDate>
  <CharactersWithSpaces>687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2023-02-11T04:14:00Z</dcterms:created>
  <dc:creator>洛洛</dc:creator>
  <cp:lastModifiedBy>洛洛</cp:lastModifiedBy>
  <dcterms:modified xsi:type="dcterms:W3CDTF">2023-02-14T13:53:12Z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970BA24CB2474EB8A41268C58EFD934C</vt:lpwstr>
  </property>
</Properties>
</file>