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E3AF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961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2402CBC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895"/>
      <w:r>
        <w:rPr>
          <w:rFonts w:hint="eastAsia"/>
          <w:lang w:val="en-US" w:eastAsia="zh-CN"/>
        </w:rPr>
        <w:t>安徽益联-丰盈云人力资源服务业财一体化管理系统-可用性和连续性管理报告</w:t>
      </w:r>
      <w:bookmarkEnd w:id="1"/>
    </w:p>
    <w:p w14:paraId="4C4D3F4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6B5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36993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2DAA5CE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12661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395BF4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DC2746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6D561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20309D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738E1F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10B60CA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BF6997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3E75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9C0D446">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E547EE3">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2CC439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EA2217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7F119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0C6EF1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30</w:t>
            </w:r>
          </w:p>
        </w:tc>
        <w:tc>
          <w:tcPr>
            <w:tcW w:w="919" w:type="dxa"/>
          </w:tcPr>
          <w:p w14:paraId="6614ABE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CF0E86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0CCE8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1DED24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5A3933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2378F6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5FCBD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A0EAAC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6DDCB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620A9A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1998D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1386A3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A3E22D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711E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9F512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6C506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014B29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853CA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7AD425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2F0C83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C5BB3D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_Toc9616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_Toc9616 \h </w:instrText>
          </w:r>
          <w:r>
            <w:fldChar w:fldCharType="separate"/>
          </w:r>
          <w:r>
            <w:t>1</w:t>
          </w:r>
          <w:r>
            <w:fldChar w:fldCharType="end"/>
          </w:r>
          <w:r>
            <w:rPr>
              <w:rFonts w:hint="eastAsia" w:ascii="宋体" w:hAnsi="宋体" w:eastAsia="宋体" w:cs="宋体"/>
              <w:szCs w:val="24"/>
            </w:rPr>
            <w:fldChar w:fldCharType="end"/>
          </w:r>
        </w:p>
        <w:p w14:paraId="3AAA2B0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_Toc6240 </w:instrText>
          </w:r>
          <w:r>
            <w:rPr>
              <w:rFonts w:hint="eastAsia" w:ascii="宋体" w:hAnsi="宋体" w:eastAsia="宋体" w:cs="宋体"/>
              <w:szCs w:val="24"/>
            </w:rPr>
            <w:fldChar w:fldCharType="separate"/>
          </w:r>
          <w:r>
            <w:rPr>
              <w:rFonts w:hint="eastAsia"/>
              <w:lang w:val="en-US" w:eastAsia="zh-CN"/>
            </w:rPr>
            <w:t>晋城市产业互联网数字化</w:t>
          </w:r>
          <w:r>
            <w:tab/>
          </w:r>
          <w:r>
            <w:fldChar w:fldCharType="begin"/>
          </w:r>
          <w:r>
            <w:instrText xml:space="preserve"> PAGEREF _Toc6240 \h </w:instrText>
          </w:r>
          <w:r>
            <w:fldChar w:fldCharType="separate"/>
          </w:r>
          <w:r>
            <w:t>1</w:t>
          </w:r>
          <w:r>
            <w:fldChar w:fldCharType="end"/>
          </w:r>
          <w:r>
            <w:rPr>
              <w:rFonts w:hint="eastAsia" w:ascii="宋体" w:hAnsi="宋体" w:eastAsia="宋体" w:cs="宋体"/>
              <w:szCs w:val="24"/>
            </w:rPr>
            <w:fldChar w:fldCharType="end"/>
          </w:r>
        </w:p>
        <w:p w14:paraId="22D32E6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_Toc1895 </w:instrText>
          </w:r>
          <w:r>
            <w:rPr>
              <w:rFonts w:hint="eastAsia" w:ascii="宋体" w:hAnsi="宋体" w:eastAsia="宋体" w:cs="宋体"/>
              <w:szCs w:val="24"/>
            </w:rPr>
            <w:fldChar w:fldCharType="separate"/>
          </w:r>
          <w:r>
            <w:rPr>
              <w:rFonts w:hint="eastAsia"/>
              <w:lang w:val="en-US" w:eastAsia="zh-CN"/>
            </w:rPr>
            <w:t>共享服务平台服务可用性和连续性管理报告</w:t>
          </w:r>
          <w:r>
            <w:tab/>
          </w:r>
          <w:r>
            <w:fldChar w:fldCharType="begin"/>
          </w:r>
          <w:r>
            <w:instrText xml:space="preserve"> PAGEREF _Toc1895 \h </w:instrText>
          </w:r>
          <w:r>
            <w:fldChar w:fldCharType="separate"/>
          </w:r>
          <w:r>
            <w:t>1</w:t>
          </w:r>
          <w:r>
            <w:fldChar w:fldCharType="end"/>
          </w:r>
          <w:r>
            <w:rPr>
              <w:rFonts w:hint="eastAsia" w:ascii="宋体" w:hAnsi="宋体" w:eastAsia="宋体" w:cs="宋体"/>
              <w:szCs w:val="24"/>
            </w:rPr>
            <w:fldChar w:fldCharType="end"/>
          </w:r>
        </w:p>
        <w:p w14:paraId="5F4888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_Toc23387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报告摘要</w:t>
          </w:r>
          <w:r>
            <w:tab/>
          </w:r>
          <w:r>
            <w:fldChar w:fldCharType="begin"/>
          </w:r>
          <w:r>
            <w:instrText xml:space="preserve"> PAGEREF _Toc23387 \h </w:instrText>
          </w:r>
          <w:r>
            <w:fldChar w:fldCharType="separate"/>
          </w:r>
          <w:r>
            <w:t>4</w:t>
          </w:r>
          <w:r>
            <w:fldChar w:fldCharType="end"/>
          </w:r>
          <w:r>
            <w:rPr>
              <w:rFonts w:hint="eastAsia" w:ascii="宋体" w:hAnsi="宋体" w:eastAsia="宋体" w:cs="宋体"/>
              <w:szCs w:val="24"/>
            </w:rPr>
            <w:fldChar w:fldCharType="end"/>
          </w:r>
        </w:p>
        <w:p w14:paraId="12F770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_Toc22031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可用性达成情况</w:t>
          </w:r>
          <w:r>
            <w:tab/>
          </w:r>
          <w:r>
            <w:fldChar w:fldCharType="begin"/>
          </w:r>
          <w:r>
            <w:instrText xml:space="preserve"> PAGEREF _Toc22031 \h </w:instrText>
          </w:r>
          <w:r>
            <w:fldChar w:fldCharType="separate"/>
          </w:r>
          <w:r>
            <w:t>4</w:t>
          </w:r>
          <w:r>
            <w:fldChar w:fldCharType="end"/>
          </w:r>
          <w:r>
            <w:rPr>
              <w:rFonts w:hint="eastAsia" w:ascii="宋体" w:hAnsi="宋体" w:eastAsia="宋体" w:cs="宋体"/>
              <w:szCs w:val="24"/>
            </w:rPr>
            <w:fldChar w:fldCharType="end"/>
          </w:r>
        </w:p>
        <w:p w14:paraId="38B21D8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_Toc13620 </w:instrText>
          </w:r>
          <w:r>
            <w:rPr>
              <w:rFonts w:hint="eastAsia" w:ascii="宋体" w:hAnsi="宋体" w:eastAsia="宋体" w:cs="宋体"/>
              <w:szCs w:val="24"/>
            </w:rPr>
            <w:fldChar w:fldCharType="separate"/>
          </w:r>
          <w:r>
            <w:rPr>
              <w:rFonts w:hint="default"/>
              <w:lang w:val="en-US" w:eastAsia="zh-CN"/>
            </w:rPr>
            <w:t>3. 《可用性与连续性计划》执行情况总结</w:t>
          </w:r>
          <w:r>
            <w:tab/>
          </w:r>
          <w:r>
            <w:fldChar w:fldCharType="begin"/>
          </w:r>
          <w:r>
            <w:instrText xml:space="preserve"> PAGEREF _Toc13620 \h </w:instrText>
          </w:r>
          <w:r>
            <w:fldChar w:fldCharType="separate"/>
          </w:r>
          <w:r>
            <w:t>4</w:t>
          </w:r>
          <w:r>
            <w:fldChar w:fldCharType="end"/>
          </w:r>
          <w:r>
            <w:rPr>
              <w:rFonts w:hint="eastAsia" w:ascii="宋体" w:hAnsi="宋体" w:eastAsia="宋体" w:cs="宋体"/>
              <w:szCs w:val="24"/>
            </w:rPr>
            <w:fldChar w:fldCharType="end"/>
          </w:r>
        </w:p>
        <w:p w14:paraId="3298FA2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_Toc20790 </w:instrText>
          </w:r>
          <w:r>
            <w:rPr>
              <w:rFonts w:hint="eastAsia" w:ascii="宋体" w:hAnsi="宋体" w:eastAsia="宋体" w:cs="宋体"/>
              <w:szCs w:val="24"/>
            </w:rPr>
            <w:fldChar w:fldCharType="separate"/>
          </w:r>
          <w:r>
            <w:rPr>
              <w:rFonts w:hint="default"/>
              <w:lang w:val="en-US" w:eastAsia="zh-CN"/>
            </w:rPr>
            <w:t>3.1. 可用性维护执行</w:t>
          </w:r>
          <w:r>
            <w:tab/>
          </w:r>
          <w:r>
            <w:fldChar w:fldCharType="begin"/>
          </w:r>
          <w:r>
            <w:instrText xml:space="preserve"> PAGEREF _Toc20790 \h </w:instrText>
          </w:r>
          <w:r>
            <w:fldChar w:fldCharType="separate"/>
          </w:r>
          <w:r>
            <w:t>4</w:t>
          </w:r>
          <w:r>
            <w:fldChar w:fldCharType="end"/>
          </w:r>
          <w:r>
            <w:rPr>
              <w:rFonts w:hint="eastAsia" w:ascii="宋体" w:hAnsi="宋体" w:eastAsia="宋体" w:cs="宋体"/>
              <w:szCs w:val="24"/>
            </w:rPr>
            <w:fldChar w:fldCharType="end"/>
          </w:r>
        </w:p>
        <w:p w14:paraId="5A71984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_Toc6992 </w:instrText>
          </w:r>
          <w:r>
            <w:rPr>
              <w:rFonts w:hint="eastAsia" w:ascii="宋体" w:hAnsi="宋体" w:eastAsia="宋体" w:cs="宋体"/>
              <w:szCs w:val="24"/>
            </w:rPr>
            <w:fldChar w:fldCharType="separate"/>
          </w:r>
          <w:r>
            <w:rPr>
              <w:rFonts w:hint="default"/>
              <w:lang w:val="en-US" w:eastAsia="zh-CN"/>
            </w:rPr>
            <w:t>3.2. 连续性准备与演练</w:t>
          </w:r>
          <w:r>
            <w:tab/>
          </w:r>
          <w:r>
            <w:fldChar w:fldCharType="begin"/>
          </w:r>
          <w:r>
            <w:instrText xml:space="preserve"> PAGEREF _Toc6992 \h </w:instrText>
          </w:r>
          <w:r>
            <w:fldChar w:fldCharType="separate"/>
          </w:r>
          <w:r>
            <w:t>4</w:t>
          </w:r>
          <w:r>
            <w:fldChar w:fldCharType="end"/>
          </w:r>
          <w:r>
            <w:rPr>
              <w:rFonts w:hint="eastAsia" w:ascii="宋体" w:hAnsi="宋体" w:eastAsia="宋体" w:cs="宋体"/>
              <w:szCs w:val="24"/>
            </w:rPr>
            <w:fldChar w:fldCharType="end"/>
          </w:r>
        </w:p>
        <w:p w14:paraId="51C2B70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_Toc17234 </w:instrText>
          </w:r>
          <w:r>
            <w:rPr>
              <w:rFonts w:hint="eastAsia" w:ascii="宋体" w:hAnsi="宋体" w:eastAsia="宋体" w:cs="宋体"/>
              <w:szCs w:val="24"/>
            </w:rPr>
            <w:fldChar w:fldCharType="separate"/>
          </w:r>
          <w:r>
            <w:rPr>
              <w:rFonts w:hint="default"/>
              <w:lang w:val="en-US" w:eastAsia="zh-CN"/>
            </w:rPr>
            <w:t>4. 发现的问题与改进建议</w:t>
          </w:r>
          <w:r>
            <w:tab/>
          </w:r>
          <w:r>
            <w:fldChar w:fldCharType="begin"/>
          </w:r>
          <w:r>
            <w:instrText xml:space="preserve"> PAGEREF _Toc17234 \h </w:instrText>
          </w:r>
          <w:r>
            <w:fldChar w:fldCharType="separate"/>
          </w:r>
          <w:r>
            <w:t>5</w:t>
          </w:r>
          <w:r>
            <w:fldChar w:fldCharType="end"/>
          </w:r>
          <w:r>
            <w:rPr>
              <w:rFonts w:hint="eastAsia" w:ascii="宋体" w:hAnsi="宋体" w:eastAsia="宋体" w:cs="宋体"/>
              <w:szCs w:val="24"/>
            </w:rPr>
            <w:fldChar w:fldCharType="end"/>
          </w:r>
        </w:p>
        <w:p w14:paraId="75F3940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_Toc22094 </w:instrText>
          </w:r>
          <w:r>
            <w:rPr>
              <w:rFonts w:hint="eastAsia" w:ascii="宋体" w:hAnsi="宋体" w:eastAsia="宋体" w:cs="宋体"/>
              <w:szCs w:val="24"/>
            </w:rPr>
            <w:fldChar w:fldCharType="separate"/>
          </w:r>
          <w:r>
            <w:rPr>
              <w:rFonts w:hint="default"/>
              <w:lang w:val="en-US" w:eastAsia="zh-CN"/>
            </w:rPr>
            <w:t>4.1. 主要问题</w:t>
          </w:r>
          <w:r>
            <w:tab/>
          </w:r>
          <w:r>
            <w:fldChar w:fldCharType="begin"/>
          </w:r>
          <w:r>
            <w:instrText xml:space="preserve"> PAGEREF _Toc22094 \h </w:instrText>
          </w:r>
          <w:r>
            <w:fldChar w:fldCharType="separate"/>
          </w:r>
          <w:r>
            <w:t>5</w:t>
          </w:r>
          <w:r>
            <w:fldChar w:fldCharType="end"/>
          </w:r>
          <w:r>
            <w:rPr>
              <w:rFonts w:hint="eastAsia" w:ascii="宋体" w:hAnsi="宋体" w:eastAsia="宋体" w:cs="宋体"/>
              <w:szCs w:val="24"/>
            </w:rPr>
            <w:fldChar w:fldCharType="end"/>
          </w:r>
        </w:p>
        <w:p w14:paraId="7CCD8D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_Toc25214 </w:instrText>
          </w:r>
          <w:r>
            <w:rPr>
              <w:rFonts w:hint="eastAsia" w:ascii="宋体" w:hAnsi="宋体" w:eastAsia="宋体" w:cs="宋体"/>
              <w:szCs w:val="24"/>
            </w:rPr>
            <w:fldChar w:fldCharType="separate"/>
          </w:r>
          <w:r>
            <w:rPr>
              <w:rFonts w:hint="default"/>
              <w:lang w:val="en-US" w:eastAsia="zh-CN"/>
            </w:rPr>
            <w:t>4.2. 改进建议</w:t>
          </w:r>
          <w:r>
            <w:tab/>
          </w:r>
          <w:r>
            <w:fldChar w:fldCharType="begin"/>
          </w:r>
          <w:r>
            <w:instrText xml:space="preserve"> PAGEREF _Toc25214 \h </w:instrText>
          </w:r>
          <w:r>
            <w:fldChar w:fldCharType="separate"/>
          </w:r>
          <w:r>
            <w:t>5</w:t>
          </w:r>
          <w:r>
            <w:fldChar w:fldCharType="end"/>
          </w:r>
          <w:r>
            <w:rPr>
              <w:rFonts w:hint="eastAsia" w:ascii="宋体" w:hAnsi="宋体" w:eastAsia="宋体" w:cs="宋体"/>
              <w:szCs w:val="24"/>
            </w:rPr>
            <w:fldChar w:fldCharType="end"/>
          </w:r>
        </w:p>
        <w:p w14:paraId="38EFFF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_Toc31730 </w:instrText>
          </w:r>
          <w:r>
            <w:rPr>
              <w:rFonts w:hint="eastAsia" w:ascii="宋体" w:hAnsi="宋体" w:eastAsia="宋体" w:cs="宋体"/>
              <w:szCs w:val="24"/>
            </w:rPr>
            <w:fldChar w:fldCharType="separate"/>
          </w:r>
          <w:r>
            <w:rPr>
              <w:rFonts w:hint="default"/>
              <w:lang w:val="en-US" w:eastAsia="zh-CN"/>
            </w:rPr>
            <w:t>5. 结论与行动计划</w:t>
          </w:r>
          <w:r>
            <w:tab/>
          </w:r>
          <w:r>
            <w:fldChar w:fldCharType="begin"/>
          </w:r>
          <w:r>
            <w:instrText xml:space="preserve"> PAGEREF _Toc31730 \h </w:instrText>
          </w:r>
          <w:r>
            <w:fldChar w:fldCharType="separate"/>
          </w:r>
          <w:r>
            <w:t>5</w:t>
          </w:r>
          <w:r>
            <w:fldChar w:fldCharType="end"/>
          </w:r>
          <w:r>
            <w:rPr>
              <w:rFonts w:hint="eastAsia" w:ascii="宋体" w:hAnsi="宋体" w:eastAsia="宋体" w:cs="宋体"/>
              <w:szCs w:val="24"/>
            </w:rPr>
            <w:fldChar w:fldCharType="end"/>
          </w:r>
        </w:p>
        <w:p w14:paraId="6B1367E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CA7747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1AECB1E">
      <w:pPr>
        <w:pStyle w:val="28"/>
        <w:bidi w:val="0"/>
        <w:rPr>
          <w:rFonts w:hint="default"/>
          <w:lang w:val="en-US" w:eastAsia="zh-CN"/>
        </w:rPr>
      </w:pPr>
      <w:r>
        <w:rPr>
          <w:rFonts w:hint="default"/>
          <w:lang w:val="en-US" w:eastAsia="zh-CN"/>
        </w:rPr>
        <w:t>管理概况</w:t>
      </w:r>
    </w:p>
    <w:p w14:paraId="62AFBA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运维管理部严格遵循《服务可用性与连续性管理计划》，围绕“保障服务稳定、快速恢复中断、确保业务连续”三大核心目标，开展了一系列规划、监控、演练与改进活动。整体服务运行平稳，关键目标基本达成，业务连续性体系得到有效验证。本报告旨在系统总结期内工作成效，分析差距，并为下一周期管理提供输入。</w:t>
      </w:r>
    </w:p>
    <w:p w14:paraId="0DBD0AF7">
      <w:pPr>
        <w:pStyle w:val="28"/>
        <w:bidi w:val="0"/>
        <w:rPr>
          <w:rFonts w:hint="default"/>
          <w:lang w:val="en-US" w:eastAsia="zh-CN"/>
        </w:rPr>
      </w:pPr>
      <w:r>
        <w:rPr>
          <w:rFonts w:hint="default"/>
          <w:lang w:val="en-US" w:eastAsia="zh-CN"/>
        </w:rPr>
        <w:t>管理目标达成情况</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28"/>
        <w:gridCol w:w="2139"/>
        <w:gridCol w:w="3912"/>
        <w:gridCol w:w="1219"/>
      </w:tblGrid>
      <w:tr w14:paraId="3682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61F11B1">
            <w:pPr>
              <w:keepNext w:val="0"/>
              <w:keepLines w:val="0"/>
              <w:widowControl/>
              <w:suppressLineNumbers w:val="0"/>
              <w:spacing w:line="300" w:lineRule="atLeast"/>
              <w:ind w:left="0" w:leftChars="0" w:right="0" w:rightChars="0" w:firstLine="0" w:firstLineChars="0"/>
              <w:jc w:val="center"/>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管理目标</w:t>
            </w:r>
          </w:p>
        </w:tc>
        <w:tc>
          <w:tcPr>
            <w:tcW w:w="0" w:type="auto"/>
            <w:shd w:val="clear" w:color="auto" w:fill="auto"/>
            <w:tcMar>
              <w:top w:w="120" w:type="dxa"/>
              <w:left w:w="192" w:type="dxa"/>
              <w:bottom w:w="120" w:type="dxa"/>
              <w:right w:w="192" w:type="dxa"/>
            </w:tcMar>
            <w:vAlign w:val="center"/>
          </w:tcPr>
          <w:p w14:paraId="347AA1D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计划指标</w:t>
            </w:r>
          </w:p>
        </w:tc>
        <w:tc>
          <w:tcPr>
            <w:tcW w:w="3912" w:type="dxa"/>
            <w:shd w:val="clear" w:color="auto" w:fill="auto"/>
            <w:tcMar>
              <w:top w:w="120" w:type="dxa"/>
              <w:left w:w="192" w:type="dxa"/>
              <w:bottom w:w="120" w:type="dxa"/>
              <w:right w:w="192" w:type="dxa"/>
            </w:tcMar>
            <w:vAlign w:val="center"/>
          </w:tcPr>
          <w:p w14:paraId="5D14DFC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报告期实际达成情况</w:t>
            </w:r>
          </w:p>
        </w:tc>
        <w:tc>
          <w:tcPr>
            <w:tcW w:w="1219" w:type="dxa"/>
            <w:shd w:val="clear" w:color="auto" w:fill="auto"/>
            <w:tcMar>
              <w:top w:w="120" w:type="dxa"/>
              <w:left w:w="192" w:type="dxa"/>
              <w:bottom w:w="120" w:type="dxa"/>
              <w:right w:w="192" w:type="dxa"/>
            </w:tcMar>
            <w:vAlign w:val="center"/>
          </w:tcPr>
          <w:p w14:paraId="70A3423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评估结论</w:t>
            </w:r>
          </w:p>
        </w:tc>
      </w:tr>
      <w:tr w14:paraId="433D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06B190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可用性目标</w:t>
            </w:r>
          </w:p>
        </w:tc>
        <w:tc>
          <w:tcPr>
            <w:tcW w:w="0" w:type="auto"/>
            <w:shd w:val="clear" w:color="auto" w:fill="auto"/>
            <w:tcMar>
              <w:top w:w="120" w:type="dxa"/>
              <w:left w:w="192" w:type="dxa"/>
              <w:bottom w:w="120" w:type="dxa"/>
              <w:right w:w="192" w:type="dxa"/>
            </w:tcMar>
            <w:vAlign w:val="center"/>
          </w:tcPr>
          <w:p w14:paraId="59BAE47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核心业务月度可用</w:t>
            </w:r>
            <w:r>
              <w:rPr>
                <w:rFonts w:hint="eastAsia" w:ascii="Segoe UI" w:hAnsi="Segoe UI" w:eastAsia="Segoe UI" w:cs="Segoe UI"/>
                <w:i w:val="0"/>
                <w:iCs w:val="0"/>
                <w:caps w:val="0"/>
                <w:snapToGrid w:val="0"/>
                <w:color w:val="000000"/>
                <w:spacing w:val="0"/>
                <w:kern w:val="0"/>
                <w:sz w:val="18"/>
                <w:szCs w:val="18"/>
                <w:bdr w:val="none" w:color="auto" w:sz="0" w:space="0"/>
                <w:lang w:val="en-US" w:eastAsia="zh-CN" w:bidi="ar"/>
              </w:rPr>
              <w:t>率</w:t>
            </w: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 99%</w:t>
            </w:r>
          </w:p>
        </w:tc>
        <w:tc>
          <w:tcPr>
            <w:tcW w:w="3912" w:type="dxa"/>
            <w:shd w:val="clear" w:color="auto" w:fill="auto"/>
            <w:tcMar>
              <w:top w:w="120" w:type="dxa"/>
              <w:left w:w="192" w:type="dxa"/>
              <w:bottom w:w="120" w:type="dxa"/>
              <w:right w:w="192" w:type="dxa"/>
            </w:tcMar>
            <w:vAlign w:val="center"/>
          </w:tcPr>
          <w:p w14:paraId="52186FF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统计期内，核心业务（CRM、员工、结算、财务模块）平均月度可用率为</w:t>
            </w:r>
            <w:r>
              <w:rPr>
                <w:rFonts w:hint="eastAsia" w:ascii="Segoe UI" w:hAnsi="Segoe UI" w:eastAsia="Segoe UI" w:cs="Segoe UI"/>
                <w:i w:val="0"/>
                <w:iCs w:val="0"/>
                <w:caps w:val="0"/>
                <w:snapToGrid w:val="0"/>
                <w:color w:val="000000"/>
                <w:spacing w:val="0"/>
                <w:kern w:val="0"/>
                <w:sz w:val="18"/>
                <w:szCs w:val="18"/>
                <w:bdr w:val="none" w:color="auto" w:sz="0" w:space="0"/>
                <w:lang w:val="en-US" w:eastAsia="zh-CN" w:bidi="ar"/>
              </w:rPr>
              <w:t>100</w:t>
            </w: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w:t>
            </w: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。7x24小时服务访问通道持续畅通。</w:t>
            </w:r>
          </w:p>
        </w:tc>
        <w:tc>
          <w:tcPr>
            <w:tcW w:w="1219" w:type="dxa"/>
            <w:shd w:val="clear" w:color="auto" w:fill="auto"/>
            <w:tcMar>
              <w:top w:w="120" w:type="dxa"/>
              <w:left w:w="192" w:type="dxa"/>
              <w:bottom w:w="120" w:type="dxa"/>
              <w:right w:w="0" w:type="dxa"/>
            </w:tcMar>
            <w:vAlign w:val="center"/>
          </w:tcPr>
          <w:p w14:paraId="538E660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达标</w:t>
            </w:r>
          </w:p>
        </w:tc>
      </w:tr>
      <w:tr w14:paraId="2880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EDED1A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恢复目标 (RTO)</w:t>
            </w:r>
          </w:p>
        </w:tc>
        <w:tc>
          <w:tcPr>
            <w:tcW w:w="0" w:type="auto"/>
            <w:shd w:val="clear" w:color="auto" w:fill="auto"/>
            <w:tcMar>
              <w:top w:w="120" w:type="dxa"/>
              <w:left w:w="192" w:type="dxa"/>
              <w:bottom w:w="120" w:type="dxa"/>
              <w:right w:w="192" w:type="dxa"/>
            </w:tcMar>
            <w:vAlign w:val="center"/>
          </w:tcPr>
          <w:p w14:paraId="70CF09B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重大中断后，核心业务4小时内恢复基本功能。</w:t>
            </w:r>
          </w:p>
        </w:tc>
        <w:tc>
          <w:tcPr>
            <w:tcW w:w="3912" w:type="dxa"/>
            <w:shd w:val="clear" w:color="auto" w:fill="auto"/>
            <w:tcMar>
              <w:top w:w="120" w:type="dxa"/>
              <w:left w:w="192" w:type="dxa"/>
              <w:bottom w:w="120" w:type="dxa"/>
              <w:right w:w="192" w:type="dxa"/>
            </w:tcMar>
            <w:vAlign w:val="center"/>
          </w:tcPr>
          <w:p w14:paraId="1D64C59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报告期内</w:t>
            </w:r>
            <w:r>
              <w:rPr>
                <w:rFonts w:hint="eastAsia" w:ascii="Segoe UI" w:hAnsi="Segoe UI" w:eastAsia="Segoe UI" w:cs="Segoe UI"/>
                <w:i w:val="0"/>
                <w:iCs w:val="0"/>
                <w:caps w:val="0"/>
                <w:snapToGrid w:val="0"/>
                <w:color w:val="000000"/>
                <w:spacing w:val="0"/>
                <w:kern w:val="0"/>
                <w:sz w:val="18"/>
                <w:szCs w:val="18"/>
                <w:bdr w:val="none" w:color="auto" w:sz="0" w:space="0"/>
                <w:lang w:val="en-US" w:eastAsia="zh-CN" w:bidi="ar"/>
              </w:rPr>
              <w:t>未发生</w:t>
            </w: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“重大中断”。</w:t>
            </w:r>
          </w:p>
        </w:tc>
        <w:tc>
          <w:tcPr>
            <w:tcW w:w="1219" w:type="dxa"/>
            <w:shd w:val="clear" w:color="auto" w:fill="auto"/>
            <w:tcMar>
              <w:top w:w="120" w:type="dxa"/>
              <w:left w:w="192" w:type="dxa"/>
              <w:bottom w:w="120" w:type="dxa"/>
              <w:right w:w="0" w:type="dxa"/>
            </w:tcMar>
            <w:vAlign w:val="center"/>
          </w:tcPr>
          <w:p w14:paraId="39F2B8A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超额达标</w:t>
            </w:r>
          </w:p>
        </w:tc>
      </w:tr>
      <w:tr w14:paraId="430E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B888E5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恢复目标 (RPO)</w:t>
            </w:r>
          </w:p>
        </w:tc>
        <w:tc>
          <w:tcPr>
            <w:tcW w:w="0" w:type="auto"/>
            <w:shd w:val="clear" w:color="auto" w:fill="auto"/>
            <w:tcMar>
              <w:top w:w="120" w:type="dxa"/>
              <w:left w:w="192" w:type="dxa"/>
              <w:bottom w:w="120" w:type="dxa"/>
              <w:right w:w="192" w:type="dxa"/>
            </w:tcMar>
            <w:vAlign w:val="center"/>
          </w:tcPr>
          <w:p w14:paraId="48D6232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核心业务数据丢失不超过1小时。</w:t>
            </w:r>
          </w:p>
        </w:tc>
        <w:tc>
          <w:tcPr>
            <w:tcW w:w="3912" w:type="dxa"/>
            <w:shd w:val="clear" w:color="auto" w:fill="auto"/>
            <w:tcMar>
              <w:top w:w="120" w:type="dxa"/>
              <w:left w:w="192" w:type="dxa"/>
              <w:bottom w:w="120" w:type="dxa"/>
              <w:right w:w="192" w:type="dxa"/>
            </w:tcMar>
            <w:vAlign w:val="center"/>
          </w:tcPr>
          <w:p w14:paraId="57494C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通过“主从同步+每日增量备份”机制，实际数据损失窗口约为 </w:t>
            </w: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5分钟</w:t>
            </w: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（故障发生至最后同步时间点）。</w:t>
            </w:r>
          </w:p>
        </w:tc>
        <w:tc>
          <w:tcPr>
            <w:tcW w:w="1219" w:type="dxa"/>
            <w:shd w:val="clear" w:color="auto" w:fill="auto"/>
            <w:tcMar>
              <w:top w:w="120" w:type="dxa"/>
              <w:left w:w="192" w:type="dxa"/>
              <w:bottom w:w="120" w:type="dxa"/>
              <w:right w:w="0" w:type="dxa"/>
            </w:tcMar>
            <w:vAlign w:val="center"/>
          </w:tcPr>
          <w:p w14:paraId="54BD193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超额达标</w:t>
            </w:r>
          </w:p>
        </w:tc>
      </w:tr>
      <w:tr w14:paraId="604D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93F360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连续性目标 (BCP RTO)</w:t>
            </w:r>
          </w:p>
        </w:tc>
        <w:tc>
          <w:tcPr>
            <w:tcW w:w="0" w:type="auto"/>
            <w:shd w:val="clear" w:color="auto" w:fill="auto"/>
            <w:tcMar>
              <w:top w:w="120" w:type="dxa"/>
              <w:left w:w="192" w:type="dxa"/>
              <w:bottom w:w="120" w:type="dxa"/>
              <w:right w:w="192" w:type="dxa"/>
            </w:tcMar>
            <w:vAlign w:val="center"/>
          </w:tcPr>
          <w:p w14:paraId="7855B8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灾难场景下，24小时内在备用站点恢复关键服务。</w:t>
            </w:r>
          </w:p>
        </w:tc>
        <w:tc>
          <w:tcPr>
            <w:tcW w:w="3912" w:type="dxa"/>
            <w:shd w:val="clear" w:color="auto" w:fill="auto"/>
            <w:tcMar>
              <w:top w:w="120" w:type="dxa"/>
              <w:left w:w="192" w:type="dxa"/>
              <w:bottom w:w="120" w:type="dxa"/>
              <w:right w:w="192" w:type="dxa"/>
            </w:tcMar>
            <w:vAlign w:val="center"/>
          </w:tcPr>
          <w:p w14:paraId="1151C16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通过年度模拟切换演练验证，在备用云环境成功恢复核心数据库与应用服务，总耗时 </w:t>
            </w: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18小时40分钟</w:t>
            </w: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w:t>
            </w:r>
          </w:p>
        </w:tc>
        <w:tc>
          <w:tcPr>
            <w:tcW w:w="1219" w:type="dxa"/>
            <w:shd w:val="clear" w:color="auto" w:fill="auto"/>
            <w:tcMar>
              <w:top w:w="120" w:type="dxa"/>
              <w:left w:w="192" w:type="dxa"/>
              <w:bottom w:w="120" w:type="dxa"/>
              <w:right w:w="0" w:type="dxa"/>
            </w:tcMar>
            <w:vAlign w:val="center"/>
          </w:tcPr>
          <w:p w14:paraId="480579A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达标</w:t>
            </w:r>
          </w:p>
        </w:tc>
      </w:tr>
      <w:tr w14:paraId="74FF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35C27F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连续性目标 (BCP RPO)</w:t>
            </w:r>
          </w:p>
        </w:tc>
        <w:tc>
          <w:tcPr>
            <w:tcW w:w="0" w:type="auto"/>
            <w:shd w:val="clear" w:color="auto" w:fill="auto"/>
            <w:tcMar>
              <w:top w:w="120" w:type="dxa"/>
              <w:left w:w="192" w:type="dxa"/>
              <w:bottom w:w="120" w:type="dxa"/>
              <w:right w:w="192" w:type="dxa"/>
            </w:tcMar>
            <w:vAlign w:val="center"/>
          </w:tcPr>
          <w:p w14:paraId="50915AA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灾难场景下，核心数据损失不超过24小时。</w:t>
            </w:r>
          </w:p>
        </w:tc>
        <w:tc>
          <w:tcPr>
            <w:tcW w:w="3912" w:type="dxa"/>
            <w:shd w:val="clear" w:color="auto" w:fill="auto"/>
            <w:tcMar>
              <w:top w:w="120" w:type="dxa"/>
              <w:left w:w="192" w:type="dxa"/>
              <w:bottom w:w="120" w:type="dxa"/>
              <w:right w:w="192" w:type="dxa"/>
            </w:tcMar>
            <w:vAlign w:val="center"/>
          </w:tcPr>
          <w:p w14:paraId="030FA71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异地备份数据同步延迟最大为 </w:t>
            </w: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12小时</w:t>
            </w: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，满足目标要求。</w:t>
            </w:r>
          </w:p>
        </w:tc>
        <w:tc>
          <w:tcPr>
            <w:tcW w:w="1219" w:type="dxa"/>
            <w:shd w:val="clear" w:color="auto" w:fill="auto"/>
            <w:tcMar>
              <w:top w:w="120" w:type="dxa"/>
              <w:left w:w="192" w:type="dxa"/>
              <w:bottom w:w="120" w:type="dxa"/>
              <w:right w:w="0" w:type="dxa"/>
            </w:tcMar>
            <w:vAlign w:val="center"/>
          </w:tcPr>
          <w:p w14:paraId="7A5B5D48">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达标</w:t>
            </w:r>
          </w:p>
        </w:tc>
      </w:tr>
    </w:tbl>
    <w:p w14:paraId="5CA16795">
      <w:pPr>
        <w:pStyle w:val="28"/>
        <w:bidi w:val="0"/>
        <w:rPr>
          <w:rFonts w:hint="default"/>
          <w:lang w:val="en-US" w:eastAsia="zh-CN"/>
        </w:rPr>
      </w:pPr>
      <w:r>
        <w:rPr>
          <w:rFonts w:hint="default"/>
          <w:lang w:val="en-US" w:eastAsia="zh-CN"/>
        </w:rPr>
        <w:t>关键管理活动总结</w:t>
      </w:r>
    </w:p>
    <w:p w14:paraId="1FD8CCF2">
      <w:pPr>
        <w:pStyle w:val="31"/>
        <w:bidi w:val="0"/>
        <w:rPr>
          <w:rFonts w:hint="default"/>
          <w:lang w:val="en-US" w:eastAsia="zh-CN"/>
        </w:rPr>
      </w:pPr>
      <w:r>
        <w:rPr>
          <w:rFonts w:hint="default"/>
          <w:lang w:val="en-US" w:eastAsia="zh-CN"/>
        </w:rPr>
        <w:t>日常监控与预防性维护</w:t>
      </w:r>
    </w:p>
    <w:p w14:paraId="6F646C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监控体系：基于计划4.2条建立的监控体系运行有效，累计产生预警告警156条，均得到及时处置，成功预防潜在故障8起。</w:t>
      </w:r>
    </w:p>
    <w:p w14:paraId="6459C5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容量管理：按季度分析资源趋势，并于9月完成一次应用服务器集群的在线扩容，有效应对了业务增长带来的负载压力。</w:t>
      </w:r>
    </w:p>
    <w:p w14:paraId="130102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计划内维护：执行计划内维护3次（包括安全补丁更新、数据库优化），均提前通知甲方并安排在低峰期，未对SLA达成造成影响。</w:t>
      </w:r>
    </w:p>
    <w:p w14:paraId="756DBD17">
      <w:pPr>
        <w:pStyle w:val="31"/>
        <w:bidi w:val="0"/>
        <w:rPr>
          <w:rFonts w:hint="default"/>
          <w:lang w:val="en-US" w:eastAsia="zh-CN"/>
        </w:rPr>
      </w:pPr>
      <w:r>
        <w:rPr>
          <w:rFonts w:hint="default"/>
          <w:lang w:val="en-US" w:eastAsia="zh-CN"/>
        </w:rPr>
        <w:t>事件与应急响应</w:t>
      </w:r>
    </w:p>
    <w:p w14:paraId="3646FBB8">
      <w:pPr>
        <w:pStyle w:val="29"/>
        <w:rPr>
          <w:rFonts w:hint="default"/>
          <w:lang w:val="en-US" w:eastAsia="zh-CN"/>
        </w:rPr>
      </w:pPr>
      <w:r>
        <w:rPr>
          <w:rFonts w:hint="eastAsia"/>
          <w:lang w:val="en-US" w:eastAsia="zh-CN"/>
        </w:rPr>
        <w:t>在运维过程中没有发生应急事件。</w:t>
      </w:r>
    </w:p>
    <w:p w14:paraId="6543AC7B">
      <w:pPr>
        <w:pStyle w:val="31"/>
        <w:bidi w:val="0"/>
        <w:rPr>
          <w:rFonts w:hint="default"/>
          <w:lang w:val="en-US" w:eastAsia="zh-CN"/>
        </w:rPr>
      </w:pPr>
      <w:r>
        <w:rPr>
          <w:rFonts w:hint="default"/>
          <w:lang w:val="en-US" w:eastAsia="zh-CN"/>
        </w:rPr>
        <w:t>业务连续性演练与测试</w:t>
      </w:r>
    </w:p>
    <w:p w14:paraId="5237D1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演练执行：于2025年10月组织了年度业务连续性桌面推演与部分系统模拟切换测试，演练场景为“主数据中心电力故障”。</w:t>
      </w:r>
    </w:p>
    <w:p w14:paraId="0277E3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演练成果：验证了BCP预案的可行性、团队协作流程及备用资源的可用性。达到了计划6.1条设定的演练目标，并识别出3项待优化项（见第六部分）。</w:t>
      </w:r>
    </w:p>
    <w:p w14:paraId="1024F23A">
      <w:pPr>
        <w:pStyle w:val="28"/>
        <w:bidi w:val="0"/>
        <w:rPr>
          <w:rFonts w:hint="default"/>
          <w:lang w:val="en-US" w:eastAsia="zh-CN"/>
        </w:rPr>
      </w:pPr>
      <w:r>
        <w:rPr>
          <w:rFonts w:hint="default"/>
          <w:lang w:val="en-US" w:eastAsia="zh-CN"/>
        </w:rPr>
        <w:t>资源保障与合同符合性</w:t>
      </w:r>
    </w:p>
    <w:p w14:paraId="7F8E9D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团队与知识：项目团队保持稳定，核心运维人员均参与相关培训与演练，熟练掌握恢复流程。服务知识库中更新了本次重大事件的解决方案及恢复检查单。</w:t>
      </w:r>
    </w:p>
    <w:p w14:paraId="18F2BA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备件与供应商：采购部与备品备件管理员确保了关键备件的库存。与云服务商的合同包含明确的备用资源启用条款，为连续性恢复提供了合约保障。</w:t>
      </w:r>
    </w:p>
    <w:p w14:paraId="1F0326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SLA符合性：所有服务请求与故障申报均在合同约定的时限内响应与处理，未发生因我方原因导致的SLA违约。</w:t>
      </w:r>
    </w:p>
    <w:p w14:paraId="105F1465">
      <w:pPr>
        <w:pStyle w:val="28"/>
        <w:bidi w:val="0"/>
        <w:rPr>
          <w:rFonts w:hint="default"/>
          <w:lang w:val="en-US" w:eastAsia="zh-CN"/>
        </w:rPr>
      </w:pPr>
      <w:r>
        <w:rPr>
          <w:rFonts w:hint="default"/>
          <w:lang w:val="en-US" w:eastAsia="zh-CN"/>
        </w:rPr>
        <w:t>审计与评审</w:t>
      </w:r>
    </w:p>
    <w:p w14:paraId="2919BA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效能部于2025年11月对本计划的执行情况进行了专项审计。审计认为：可用性与连续性管理活动按计划开展，记录完整，目标达成情况良好。同时提出1项观察项：备用环境的部分系统配置版本与生产环境存在细微差异，需纳入配置管理统一管控。该观察项已列入改进计划。</w:t>
      </w:r>
    </w:p>
    <w:p w14:paraId="10F5B0F9">
      <w:pPr>
        <w:pStyle w:val="28"/>
        <w:bidi w:val="0"/>
        <w:rPr>
          <w:rFonts w:hint="default"/>
          <w:lang w:val="en-US" w:eastAsia="zh-CN"/>
        </w:rPr>
      </w:pPr>
      <w:r>
        <w:rPr>
          <w:rFonts w:hint="default"/>
          <w:lang w:val="en-US" w:eastAsia="zh-CN"/>
        </w:rPr>
        <w:t>存在的问题、风险与改进计划</w:t>
      </w:r>
    </w:p>
    <w:p w14:paraId="4DB30D55">
      <w:pPr>
        <w:rPr>
          <w:rFonts w:hint="default"/>
          <w:lang w:val="en-US" w:eastAsia="zh-CN"/>
        </w:rPr>
      </w:pPr>
      <w:r>
        <w:rPr>
          <w:rFonts w:hint="default"/>
          <w:lang w:val="en-US" w:eastAsia="zh-CN"/>
        </w:rPr>
        <w:br w:type="page"/>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5"/>
        <w:gridCol w:w="1757"/>
        <w:gridCol w:w="1660"/>
        <w:gridCol w:w="2525"/>
        <w:gridCol w:w="1310"/>
        <w:gridCol w:w="821"/>
      </w:tblGrid>
      <w:tr w14:paraId="21F6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2BC590CF">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序号</w:t>
            </w:r>
          </w:p>
        </w:tc>
        <w:tc>
          <w:tcPr>
            <w:tcW w:w="0" w:type="auto"/>
            <w:shd w:val="clear" w:color="auto" w:fill="auto"/>
            <w:tcMar>
              <w:top w:w="120" w:type="dxa"/>
              <w:left w:w="192" w:type="dxa"/>
              <w:bottom w:w="120" w:type="dxa"/>
              <w:right w:w="192" w:type="dxa"/>
            </w:tcMar>
            <w:vAlign w:val="center"/>
          </w:tcPr>
          <w:p w14:paraId="791705F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问题/风险描述</w:t>
            </w:r>
          </w:p>
        </w:tc>
        <w:tc>
          <w:tcPr>
            <w:tcW w:w="0" w:type="auto"/>
            <w:shd w:val="clear" w:color="auto" w:fill="auto"/>
            <w:tcMar>
              <w:top w:w="120" w:type="dxa"/>
              <w:left w:w="192" w:type="dxa"/>
              <w:bottom w:w="120" w:type="dxa"/>
              <w:right w:w="192" w:type="dxa"/>
            </w:tcMar>
            <w:vAlign w:val="center"/>
          </w:tcPr>
          <w:p w14:paraId="4374E8D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影响分析</w:t>
            </w:r>
          </w:p>
        </w:tc>
        <w:tc>
          <w:tcPr>
            <w:tcW w:w="2525" w:type="dxa"/>
            <w:shd w:val="clear" w:color="auto" w:fill="auto"/>
            <w:tcMar>
              <w:top w:w="120" w:type="dxa"/>
              <w:left w:w="192" w:type="dxa"/>
              <w:bottom w:w="120" w:type="dxa"/>
              <w:right w:w="192" w:type="dxa"/>
            </w:tcMar>
            <w:vAlign w:val="center"/>
          </w:tcPr>
          <w:p w14:paraId="35785B3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改进措施</w:t>
            </w:r>
          </w:p>
        </w:tc>
        <w:tc>
          <w:tcPr>
            <w:tcW w:w="1310" w:type="dxa"/>
            <w:shd w:val="clear" w:color="auto" w:fill="auto"/>
            <w:tcMar>
              <w:top w:w="120" w:type="dxa"/>
              <w:left w:w="192" w:type="dxa"/>
              <w:bottom w:w="120" w:type="dxa"/>
              <w:right w:w="192" w:type="dxa"/>
            </w:tcMar>
            <w:vAlign w:val="center"/>
          </w:tcPr>
          <w:p w14:paraId="33EDF4E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责任部门</w:t>
            </w:r>
          </w:p>
        </w:tc>
        <w:tc>
          <w:tcPr>
            <w:tcW w:w="0" w:type="auto"/>
            <w:shd w:val="clear" w:color="auto" w:fill="auto"/>
            <w:tcMar>
              <w:top w:w="120" w:type="dxa"/>
              <w:left w:w="192" w:type="dxa"/>
              <w:bottom w:w="120" w:type="dxa"/>
              <w:right w:w="192" w:type="dxa"/>
            </w:tcMar>
            <w:vAlign w:val="center"/>
          </w:tcPr>
          <w:p w14:paraId="459489B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计划完成时间</w:t>
            </w:r>
          </w:p>
        </w:tc>
      </w:tr>
      <w:tr w14:paraId="5D6A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B34328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1</w:t>
            </w:r>
          </w:p>
        </w:tc>
        <w:tc>
          <w:tcPr>
            <w:tcW w:w="0" w:type="auto"/>
            <w:shd w:val="clear" w:color="auto" w:fill="auto"/>
            <w:tcMar>
              <w:top w:w="120" w:type="dxa"/>
              <w:left w:w="192" w:type="dxa"/>
              <w:bottom w:w="120" w:type="dxa"/>
              <w:right w:w="192" w:type="dxa"/>
            </w:tcMar>
            <w:vAlign w:val="center"/>
          </w:tcPr>
          <w:p w14:paraId="56650FE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备用环境配置与生产环境存在版本差异</w:t>
            </w:r>
          </w:p>
        </w:tc>
        <w:tc>
          <w:tcPr>
            <w:tcW w:w="0" w:type="auto"/>
            <w:shd w:val="clear" w:color="auto" w:fill="auto"/>
            <w:tcMar>
              <w:top w:w="120" w:type="dxa"/>
              <w:left w:w="192" w:type="dxa"/>
              <w:bottom w:w="120" w:type="dxa"/>
              <w:right w:w="192" w:type="dxa"/>
            </w:tcMar>
            <w:vAlign w:val="center"/>
          </w:tcPr>
          <w:p w14:paraId="0ECE025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灾难切换后可能出现兼容性问题或功能不一致。</w:t>
            </w:r>
          </w:p>
        </w:tc>
        <w:tc>
          <w:tcPr>
            <w:tcW w:w="2525" w:type="dxa"/>
            <w:shd w:val="clear" w:color="auto" w:fill="auto"/>
            <w:tcMar>
              <w:top w:w="120" w:type="dxa"/>
              <w:left w:w="192" w:type="dxa"/>
              <w:bottom w:w="120" w:type="dxa"/>
              <w:right w:w="192" w:type="dxa"/>
            </w:tcMar>
            <w:vAlign w:val="center"/>
          </w:tcPr>
          <w:p w14:paraId="01D7900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将备用环境纳入CMDB统一管理，建立与生产环境的定期配置同步与验证流程。</w:t>
            </w:r>
          </w:p>
        </w:tc>
        <w:tc>
          <w:tcPr>
            <w:tcW w:w="1310" w:type="dxa"/>
            <w:shd w:val="clear" w:color="auto" w:fill="auto"/>
            <w:tcMar>
              <w:top w:w="120" w:type="dxa"/>
              <w:left w:w="192" w:type="dxa"/>
              <w:bottom w:w="120" w:type="dxa"/>
              <w:right w:w="192" w:type="dxa"/>
            </w:tcMar>
            <w:vAlign w:val="center"/>
          </w:tcPr>
          <w:p w14:paraId="4E9614C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运维管理部</w:t>
            </w:r>
          </w:p>
        </w:tc>
        <w:tc>
          <w:tcPr>
            <w:tcW w:w="0" w:type="auto"/>
            <w:shd w:val="clear" w:color="auto" w:fill="auto"/>
            <w:tcMar>
              <w:top w:w="120" w:type="dxa"/>
              <w:left w:w="192" w:type="dxa"/>
              <w:bottom w:w="120" w:type="dxa"/>
              <w:right w:w="0" w:type="dxa"/>
            </w:tcMar>
            <w:vAlign w:val="center"/>
          </w:tcPr>
          <w:p w14:paraId="3C1A775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2026年Q1</w:t>
            </w:r>
          </w:p>
        </w:tc>
      </w:tr>
      <w:tr w14:paraId="5050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5092F1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2</w:t>
            </w:r>
          </w:p>
        </w:tc>
        <w:tc>
          <w:tcPr>
            <w:tcW w:w="0" w:type="auto"/>
            <w:shd w:val="clear" w:color="auto" w:fill="auto"/>
            <w:tcMar>
              <w:top w:w="120" w:type="dxa"/>
              <w:left w:w="192" w:type="dxa"/>
              <w:bottom w:w="120" w:type="dxa"/>
              <w:right w:w="192" w:type="dxa"/>
            </w:tcMar>
            <w:vAlign w:val="center"/>
          </w:tcPr>
          <w:p w14:paraId="78AFCD1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业务连续性演练未涉及全链路（如第三方支付接口）</w:t>
            </w:r>
          </w:p>
        </w:tc>
        <w:tc>
          <w:tcPr>
            <w:tcW w:w="0" w:type="auto"/>
            <w:shd w:val="clear" w:color="auto" w:fill="auto"/>
            <w:tcMar>
              <w:top w:w="120" w:type="dxa"/>
              <w:left w:w="192" w:type="dxa"/>
              <w:bottom w:w="120" w:type="dxa"/>
              <w:right w:w="192" w:type="dxa"/>
            </w:tcMar>
            <w:vAlign w:val="center"/>
          </w:tcPr>
          <w:p w14:paraId="216B54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对端到端业务恢复能力的验证不够充分。</w:t>
            </w:r>
          </w:p>
        </w:tc>
        <w:tc>
          <w:tcPr>
            <w:tcW w:w="2525" w:type="dxa"/>
            <w:shd w:val="clear" w:color="auto" w:fill="auto"/>
            <w:tcMar>
              <w:top w:w="120" w:type="dxa"/>
              <w:left w:w="192" w:type="dxa"/>
              <w:bottom w:w="120" w:type="dxa"/>
              <w:right w:w="192" w:type="dxa"/>
            </w:tcMar>
            <w:vAlign w:val="center"/>
          </w:tcPr>
          <w:p w14:paraId="12045F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在2026年演练计划中，设计包含关键外部接口模拟的演练场景，并与相关方提前协调。</w:t>
            </w:r>
          </w:p>
        </w:tc>
        <w:tc>
          <w:tcPr>
            <w:tcW w:w="1310" w:type="dxa"/>
            <w:shd w:val="clear" w:color="auto" w:fill="auto"/>
            <w:tcMar>
              <w:top w:w="120" w:type="dxa"/>
              <w:left w:w="192" w:type="dxa"/>
              <w:bottom w:w="120" w:type="dxa"/>
              <w:right w:w="192" w:type="dxa"/>
            </w:tcMar>
            <w:vAlign w:val="center"/>
          </w:tcPr>
          <w:p w14:paraId="1479DAB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运维管理部、研发部</w:t>
            </w:r>
          </w:p>
        </w:tc>
        <w:tc>
          <w:tcPr>
            <w:tcW w:w="0" w:type="auto"/>
            <w:shd w:val="clear" w:color="auto" w:fill="auto"/>
            <w:tcMar>
              <w:top w:w="120" w:type="dxa"/>
              <w:left w:w="192" w:type="dxa"/>
              <w:bottom w:w="120" w:type="dxa"/>
              <w:right w:w="0" w:type="dxa"/>
            </w:tcMar>
            <w:vAlign w:val="center"/>
          </w:tcPr>
          <w:p w14:paraId="6FBFB3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2026年Q3</w:t>
            </w:r>
          </w:p>
        </w:tc>
      </w:tr>
      <w:tr w14:paraId="1AD3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D8390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3</w:t>
            </w:r>
          </w:p>
        </w:tc>
        <w:tc>
          <w:tcPr>
            <w:tcW w:w="0" w:type="auto"/>
            <w:shd w:val="clear" w:color="auto" w:fill="auto"/>
            <w:tcMar>
              <w:top w:w="120" w:type="dxa"/>
              <w:left w:w="192" w:type="dxa"/>
              <w:bottom w:w="120" w:type="dxa"/>
              <w:right w:w="192" w:type="dxa"/>
            </w:tcMar>
            <w:vAlign w:val="center"/>
          </w:tcPr>
          <w:p w14:paraId="7F4C659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部分监控指标的阈值设置过于宽松</w:t>
            </w:r>
          </w:p>
        </w:tc>
        <w:tc>
          <w:tcPr>
            <w:tcW w:w="0" w:type="auto"/>
            <w:shd w:val="clear" w:color="auto" w:fill="auto"/>
            <w:tcMar>
              <w:top w:w="120" w:type="dxa"/>
              <w:left w:w="192" w:type="dxa"/>
              <w:bottom w:w="120" w:type="dxa"/>
              <w:right w:w="192" w:type="dxa"/>
            </w:tcMar>
            <w:vAlign w:val="center"/>
          </w:tcPr>
          <w:p w14:paraId="1782A4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可能导致潜在性能问题未能被提前预警。</w:t>
            </w:r>
          </w:p>
        </w:tc>
        <w:tc>
          <w:tcPr>
            <w:tcW w:w="2525" w:type="dxa"/>
            <w:shd w:val="clear" w:color="auto" w:fill="auto"/>
            <w:tcMar>
              <w:top w:w="120" w:type="dxa"/>
              <w:left w:w="192" w:type="dxa"/>
              <w:bottom w:w="120" w:type="dxa"/>
              <w:right w:w="192" w:type="dxa"/>
            </w:tcMar>
            <w:vAlign w:val="center"/>
          </w:tcPr>
          <w:p w14:paraId="51C14A7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基于历史数据分析，重新评估并收紧关键性能指标（如API响应时间、队列深度）的告警阈值。</w:t>
            </w:r>
          </w:p>
        </w:tc>
        <w:tc>
          <w:tcPr>
            <w:tcW w:w="1310" w:type="dxa"/>
            <w:shd w:val="clear" w:color="auto" w:fill="auto"/>
            <w:tcMar>
              <w:top w:w="120" w:type="dxa"/>
              <w:left w:w="192" w:type="dxa"/>
              <w:bottom w:w="120" w:type="dxa"/>
              <w:right w:w="192" w:type="dxa"/>
            </w:tcMar>
            <w:vAlign w:val="center"/>
          </w:tcPr>
          <w:p w14:paraId="4C975C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运维管理部</w:t>
            </w:r>
          </w:p>
        </w:tc>
        <w:tc>
          <w:tcPr>
            <w:tcW w:w="0" w:type="auto"/>
            <w:shd w:val="clear" w:color="auto" w:fill="auto"/>
            <w:vAlign w:val="center"/>
          </w:tcPr>
          <w:p w14:paraId="1612A76C">
            <w:pPr>
              <w:rPr>
                <w:rFonts w:hint="eastAsia" w:ascii="Segoe UI" w:hAnsi="Segoe UI" w:eastAsia="Segoe UI" w:cs="Segoe UI"/>
                <w:i w:val="0"/>
                <w:iCs w:val="0"/>
                <w:caps w:val="0"/>
                <w:color w:val="0F1115"/>
                <w:spacing w:val="0"/>
                <w:sz w:val="19"/>
                <w:szCs w:val="19"/>
              </w:rPr>
            </w:pPr>
          </w:p>
        </w:tc>
      </w:tr>
    </w:tbl>
    <w:p w14:paraId="1E024C35">
      <w:pPr>
        <w:pStyle w:val="28"/>
        <w:bidi w:val="0"/>
        <w:rPr>
          <w:rFonts w:hint="default"/>
          <w:lang w:val="en-US" w:eastAsia="zh-CN"/>
        </w:rPr>
      </w:pPr>
      <w:r>
        <w:rPr>
          <w:rFonts w:hint="default"/>
          <w:lang w:val="en-US" w:eastAsia="zh-CN"/>
        </w:rPr>
        <w:t>结论与建议</w:t>
      </w:r>
    </w:p>
    <w:p w14:paraId="1C9D9A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报告期内，项目服务可用性与连续性管理体系运行有效，所有预设管理目标均已达成或超额达成。通过主动监控、及时响应和定期演练，有效保障了服务的稳定运行，并验证了应对重大中断及灾难事件的恢复能力。</w:t>
      </w:r>
    </w:p>
    <w:p w14:paraId="3A14CC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14:paraId="355A4AF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bookmarkStart w:id="2" w:name="_GoBack"/>
      <w:r>
        <w:rPr>
          <w:rFonts w:hint="default"/>
          <w:lang w:val="en-US" w:eastAsia="zh-CN"/>
        </w:rPr>
        <w:t>持续关注并落实第六部分的改进计划，重点加强备用环境的配置管理。</w:t>
      </w:r>
    </w:p>
    <w:p w14:paraId="3C4330D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建议在2026年将业务连续性意识培训范围扩大至项目全体成员及相关业务方联系人。</w:t>
      </w:r>
    </w:p>
    <w:p w14:paraId="0D60A0C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本报告应作为项目服务质量的重要记录，提交甲方审阅备案。</w:t>
      </w:r>
    </w:p>
    <w:bookmarkEnd w:id="2"/>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615A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69BFA7"/>
    <w:multiLevelType w:val="singleLevel"/>
    <w:tmpl w:val="9369BFA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B56F46"/>
    <w:rsid w:val="0C863ABB"/>
    <w:rsid w:val="0CEF2A86"/>
    <w:rsid w:val="12F64B6E"/>
    <w:rsid w:val="15916DD0"/>
    <w:rsid w:val="1676667C"/>
    <w:rsid w:val="16CA6BE3"/>
    <w:rsid w:val="183517D8"/>
    <w:rsid w:val="19786E6E"/>
    <w:rsid w:val="1B4072CF"/>
    <w:rsid w:val="1E3970E0"/>
    <w:rsid w:val="230C5CE8"/>
    <w:rsid w:val="24AA57B9"/>
    <w:rsid w:val="28245D1B"/>
    <w:rsid w:val="2B1716CE"/>
    <w:rsid w:val="39B20F40"/>
    <w:rsid w:val="3C096E11"/>
    <w:rsid w:val="3D181F6B"/>
    <w:rsid w:val="46040D75"/>
    <w:rsid w:val="471425D5"/>
    <w:rsid w:val="4F0516BA"/>
    <w:rsid w:val="50281B04"/>
    <w:rsid w:val="51051E45"/>
    <w:rsid w:val="58BA3515"/>
    <w:rsid w:val="59E41E0B"/>
    <w:rsid w:val="62867EBF"/>
    <w:rsid w:val="653246A1"/>
    <w:rsid w:val="6F4A6F49"/>
    <w:rsid w:val="73EF6B71"/>
    <w:rsid w:val="7CC97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1278</Words>
  <Characters>1418</Characters>
  <Lines>0</Lines>
  <Paragraphs>0</Paragraphs>
  <TotalTime>5</TotalTime>
  <ScaleCrop>false</ScaleCrop>
  <LinksUpToDate>false</LinksUpToDate>
  <CharactersWithSpaces>1464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2026-01-11T18:06:32Z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