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A041BC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30055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8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北京新都远景网络技术有限公司</w:t>
      </w:r>
      <w:bookmarkEnd w:id="0"/>
    </w:p>
    <w:p w14:paraId="5173E1CF">
      <w:pPr>
        <w:keepNext w:val="0"/>
        <w:keepLines w:val="0"/>
        <w:pageBreakBefore w:val="0"/>
        <w:widowControl w:val="0"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default" w:ascii="黑体" w:hAnsi="黑体" w:eastAsia="黑体" w:cs="黑体"/>
          <w:b/>
          <w:bCs/>
          <w:snapToGrid w:val="0"/>
          <w:color w:val="000000"/>
          <w:spacing w:val="-7"/>
          <w:kern w:val="0"/>
          <w:sz w:val="52"/>
          <w:szCs w:val="52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snapToGrid w:val="0"/>
          <w:color w:val="000000"/>
          <w:spacing w:val="-7"/>
          <w:kern w:val="0"/>
          <w:sz w:val="52"/>
          <w:szCs w:val="52"/>
          <w:lang w:val="en-US" w:eastAsia="zh-CN" w:bidi="ar-SA"/>
        </w:rPr>
        <w:t>丰盈云人力资源服务业财一体化管理系统技术服务项目-交付方案</w:t>
      </w:r>
    </w:p>
    <w:p w14:paraId="36EDB26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XDYJ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9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2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57A71B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2BD2AAA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运维管理部</w:t>
            </w:r>
          </w:p>
        </w:tc>
        <w:tc>
          <w:tcPr>
            <w:tcW w:w="2708" w:type="dxa"/>
          </w:tcPr>
          <w:p w14:paraId="2270728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2025.02.20</w:t>
            </w:r>
          </w:p>
        </w:tc>
      </w:tr>
      <w:tr w14:paraId="2B1AF6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3E7122B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647A3B0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2025.02.20</w:t>
            </w:r>
          </w:p>
        </w:tc>
      </w:tr>
      <w:tr w14:paraId="6A2634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10E2670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lang w:val="en-US" w:eastAsia="zh-CN"/>
              </w:rPr>
              <w:t>孙玥</w:t>
            </w:r>
          </w:p>
        </w:tc>
        <w:tc>
          <w:tcPr>
            <w:tcW w:w="2708" w:type="dxa"/>
          </w:tcPr>
          <w:p w14:paraId="6778BF8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2025.02.20</w:t>
            </w:r>
          </w:p>
        </w:tc>
      </w:tr>
    </w:tbl>
    <w:p w14:paraId="5E589AD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7D41241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240312C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696689D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4527E0A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70A1DD4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6596A33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5636D9C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61995BC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2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20</w:t>
            </w:r>
          </w:p>
        </w:tc>
        <w:tc>
          <w:tcPr>
            <w:tcW w:w="919" w:type="dxa"/>
          </w:tcPr>
          <w:p w14:paraId="1104F85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65F66EC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320A26A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孙玥</w:t>
            </w:r>
          </w:p>
        </w:tc>
      </w:tr>
      <w:tr w14:paraId="2090887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1239720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5BFB825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51F845A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1F24E86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0D6430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667D847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4DE5177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62EEFD4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5F10786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14C5B3F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039A55E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335458F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121FB8D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5E3ED07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29B60AC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2B70BAA3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3900528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_Toc30055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北京新都远景网络技术有限公司</w:t>
          </w:r>
          <w:r>
            <w:tab/>
          </w:r>
          <w:r>
            <w:fldChar w:fldCharType="begin"/>
          </w:r>
          <w:r>
            <w:instrText xml:space="preserve"> PAGEREF _Toc30055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67AE66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_Toc22447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项目概述</w:t>
          </w:r>
          <w:r>
            <w:tab/>
          </w:r>
          <w:r>
            <w:fldChar w:fldCharType="begin"/>
          </w:r>
          <w:r>
            <w:instrText xml:space="preserve"> PAGEREF _Toc22447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8DFB14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_Toc16702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服务目标与服务原则</w:t>
          </w:r>
          <w:r>
            <w:tab/>
          </w:r>
          <w:r>
            <w:fldChar w:fldCharType="begin"/>
          </w:r>
          <w:r>
            <w:instrText xml:space="preserve"> PAGEREF _Toc16702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393534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_Toc14796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2.1. 服务目标</w:t>
          </w:r>
          <w:r>
            <w:tab/>
          </w:r>
          <w:r>
            <w:fldChar w:fldCharType="begin"/>
          </w:r>
          <w:r>
            <w:instrText xml:space="preserve"> PAGEREF _Toc14796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0023A3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_Toc15649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 服务原则</w:t>
          </w:r>
          <w:r>
            <w:tab/>
          </w:r>
          <w:r>
            <w:fldChar w:fldCharType="begin"/>
          </w:r>
          <w:r>
            <w:instrText xml:space="preserve"> PAGEREF _Toc15649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106DC0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_Toc1559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服务范围与内容</w:t>
          </w:r>
          <w:r>
            <w:tab/>
          </w:r>
          <w:r>
            <w:fldChar w:fldCharType="begin"/>
          </w:r>
          <w:r>
            <w:instrText xml:space="preserve"> PAGEREF _Toc1559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6EBE4A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_Toc9346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服务范围</w:t>
          </w:r>
          <w:r>
            <w:tab/>
          </w:r>
          <w:r>
            <w:fldChar w:fldCharType="begin"/>
          </w:r>
          <w:r>
            <w:instrText xml:space="preserve"> PAGEREF _Toc9346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F14997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_Toc18124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核心服务内容</w:t>
          </w:r>
          <w:r>
            <w:tab/>
          </w:r>
          <w:r>
            <w:fldChar w:fldCharType="begin"/>
          </w:r>
          <w:r>
            <w:instrText xml:space="preserve"> PAGEREF _Toc18124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B9A73B5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_Toc27383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3.2.1. 驻场运维团队服务</w:t>
          </w:r>
          <w:r>
            <w:tab/>
          </w:r>
          <w:r>
            <w:fldChar w:fldCharType="begin"/>
          </w:r>
          <w:r>
            <w:instrText xml:space="preserve"> PAGEREF _Toc27383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022FA20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_Toc4685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3.2.2. 运维管理平台支撑</w:t>
          </w:r>
          <w:r>
            <w:tab/>
          </w:r>
          <w:r>
            <w:fldChar w:fldCharType="begin"/>
          </w:r>
          <w:r>
            <w:instrText xml:space="preserve"> PAGEREF _Toc4685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380F4A0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3.2.3. 资产全生命周期管理</w:t>
          </w:r>
          <w:r>
            <w:tab/>
          </w:r>
          <w:r>
            <w:fldChar w:fldCharType="begin"/>
          </w:r>
          <w:r>
            <w:instrText xml:space="preserve"> PAGEREF _Toc505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5331EFC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_Toc24159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3.2.4. 服务响应与故障处理</w:t>
          </w:r>
          <w:r>
            <w:tab/>
          </w:r>
          <w:r>
            <w:fldChar w:fldCharType="begin"/>
          </w:r>
          <w:r>
            <w:instrText xml:space="preserve"> PAGEREF _Toc24159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5CBCEAA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_Toc29083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3.2.5. 备品备件保障服务</w:t>
          </w:r>
          <w:r>
            <w:tab/>
          </w:r>
          <w:r>
            <w:fldChar w:fldCharType="begin"/>
          </w:r>
          <w:r>
            <w:instrText xml:space="preserve"> PAGEREF _Toc29083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A5746B4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_Toc32394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3.2.6. 系统优化与改善服务</w:t>
          </w:r>
          <w:r>
            <w:tab/>
          </w:r>
          <w:r>
            <w:fldChar w:fldCharType="begin"/>
          </w:r>
          <w:r>
            <w:instrText xml:space="preserve"> PAGEREF _Toc32394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DD889F6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3.2.7. 数据管理与备份服务</w:t>
          </w:r>
          <w:r>
            <w:tab/>
          </w:r>
          <w:r>
            <w:fldChar w:fldCharType="begin"/>
          </w:r>
          <w:r>
            <w:instrText xml:space="preserve"> PAGEREF _Toc1030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99E45A2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_Toc11814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3.2.8. 应急响应与事故运维</w:t>
          </w:r>
          <w:r>
            <w:tab/>
          </w:r>
          <w:r>
            <w:fldChar w:fldCharType="begin"/>
          </w:r>
          <w:r>
            <w:instrText xml:space="preserve"> PAGEREF _Toc11814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538E68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_Toc441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服务交付管理体系</w:t>
          </w:r>
          <w:r>
            <w:tab/>
          </w:r>
          <w:r>
            <w:fldChar w:fldCharType="begin"/>
          </w:r>
          <w:r>
            <w:instrText xml:space="preserve"> PAGEREF _Toc441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723A5C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_Toc19481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组织架构与人员配置</w:t>
          </w:r>
          <w:r>
            <w:tab/>
          </w:r>
          <w:r>
            <w:fldChar w:fldCharType="begin"/>
          </w:r>
          <w:r>
            <w:instrText xml:space="preserve"> PAGEREF _Toc19481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4E3B88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_Toc11484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岗位职责说明</w:t>
          </w:r>
          <w:r>
            <w:tab/>
          </w:r>
          <w:r>
            <w:fldChar w:fldCharType="begin"/>
          </w:r>
          <w:r>
            <w:instrText xml:space="preserve"> PAGEREF _Toc11484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C499C5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_Toc23900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服务流程管理</w:t>
          </w:r>
          <w:r>
            <w:tab/>
          </w:r>
          <w:r>
            <w:fldChar w:fldCharType="begin"/>
          </w:r>
          <w:r>
            <w:instrText xml:space="preserve"> PAGEREF _Toc23900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DE3A8F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_Toc23597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服务质量控制</w:t>
          </w:r>
          <w:r>
            <w:tab/>
          </w:r>
          <w:r>
            <w:fldChar w:fldCharType="begin"/>
          </w:r>
          <w:r>
            <w:instrText xml:space="preserve"> PAGEREF _Toc23597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31139F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_Toc21689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服务保障措施</w:t>
          </w:r>
          <w:r>
            <w:tab/>
          </w:r>
          <w:r>
            <w:fldChar w:fldCharType="begin"/>
          </w:r>
          <w:r>
            <w:instrText xml:space="preserve"> PAGEREF _Toc21689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57DF81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_Toc23116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 资源保障</w:t>
          </w:r>
          <w:r>
            <w:tab/>
          </w:r>
          <w:r>
            <w:fldChar w:fldCharType="begin"/>
          </w:r>
          <w:r>
            <w:instrText xml:space="preserve"> PAGEREF _Toc23116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2305D0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_Toc20830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 技术保障</w:t>
          </w:r>
          <w:r>
            <w:tab/>
          </w:r>
          <w:r>
            <w:fldChar w:fldCharType="begin"/>
          </w:r>
          <w:r>
            <w:instrText xml:space="preserve"> PAGEREF _Toc20830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1C6C0A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_Toc5235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5.3. 保密与安全措施</w:t>
          </w:r>
          <w:r>
            <w:tab/>
          </w:r>
          <w:r>
            <w:fldChar w:fldCharType="begin"/>
          </w:r>
          <w:r>
            <w:instrText xml:space="preserve"> PAGEREF _Toc5235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C50230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_Toc21315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服务交付物与报告机制</w:t>
          </w:r>
          <w:r>
            <w:tab/>
          </w:r>
          <w:r>
            <w:fldChar w:fldCharType="begin"/>
          </w:r>
          <w:r>
            <w:instrText xml:space="preserve"> PAGEREF _Toc21315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4B1F033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1F2DA33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7556F673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" w:name="_Toc22447"/>
      <w:r>
        <w:rPr>
          <w:rFonts w:hint="default"/>
          <w:lang w:val="en-US" w:eastAsia="zh-CN"/>
        </w:rPr>
        <w:t>项目概述</w:t>
      </w:r>
      <w:bookmarkEnd w:id="1"/>
    </w:p>
    <w:p w14:paraId="7895C3F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丰盈云人力资源服务业财一体化管理系统技术服务项目（以下简称“本项目”），旨在为甲方（安徽益联科技有限公司）提供涵盖硬件设备、基础软件及应用系统软件的综合性、全生命周期运行维护服务。服务期限自2024年12月28日至2025年12月28日，为期一年。</w:t>
      </w:r>
    </w:p>
    <w:p w14:paraId="46B399A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北京新都远景网络技术有限公司（以下简称“我方”或“乙方”）作为本项目的受托方，将严格遵循双方签订的《技术服务合同》之约定，并依据ITSS（信息技术服务标准）等业界最佳实践，组建专业化服务团队，建立标准化服务流程，以确保系统持续稳定运行，保障客户业务连续性，并致力于通过持续的优化服务提升系统性能与用户体验。</w:t>
      </w:r>
    </w:p>
    <w:p w14:paraId="5FC54825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" w:name="_Toc16702"/>
      <w:r>
        <w:rPr>
          <w:rFonts w:hint="default"/>
          <w:lang w:val="en-US" w:eastAsia="zh-CN"/>
        </w:rPr>
        <w:t>服务目标与服务原则</w:t>
      </w:r>
      <w:bookmarkEnd w:id="2"/>
    </w:p>
    <w:p w14:paraId="3229838E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" w:name="_Toc14796"/>
      <w:r>
        <w:rPr>
          <w:rFonts w:hint="default"/>
          <w:lang w:val="en-US" w:eastAsia="zh-CN"/>
        </w:rPr>
        <w:t>服务目标</w:t>
      </w:r>
      <w:bookmarkEnd w:id="3"/>
    </w:p>
    <w:p w14:paraId="17FB576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“三包”承诺：对服务范围内的设备设施，实行“包运行、包维护、包管理”，确保系统功能完整、运行流畅、管理有序。</w:t>
      </w:r>
    </w:p>
    <w:p w14:paraId="0468E41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高可用性保障：确保系统“及时、准确、稳定”运行，将非计划性服务中断降至最低，保障客户业务的高效开展。</w:t>
      </w:r>
    </w:p>
    <w:p w14:paraId="5A30A03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硬件完好性：做到“保完好、不中断”，建立高效的备件响应机制，确保配件更换及时、高效</w:t>
      </w:r>
      <w:bookmarkStart w:id="26" w:name="_GoBack"/>
      <w:bookmarkEnd w:id="26"/>
      <w:r>
        <w:rPr>
          <w:rFonts w:hint="default"/>
          <w:lang w:val="en-US" w:eastAsia="zh-CN"/>
        </w:rPr>
        <w:t>，所有更换件均为原厂或符合原厂标准的合格产品。</w:t>
      </w:r>
    </w:p>
    <w:p w14:paraId="3AC9DED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信息安全：严格遵守“保密、不泄密”原则，执行双方签订的保密协议，确保客户数据与敏感信息的安全。</w:t>
      </w:r>
    </w:p>
    <w:p w14:paraId="4040B2C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" w:name="_Toc15649"/>
      <w:r>
        <w:rPr>
          <w:rFonts w:hint="default"/>
          <w:lang w:val="en-US" w:eastAsia="zh-CN"/>
        </w:rPr>
        <w:t>服务原则</w:t>
      </w:r>
      <w:bookmarkEnd w:id="4"/>
    </w:p>
    <w:p w14:paraId="7D6D404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以客户为中心：快速响应客户需求，以解决客户问题、保障业务运行为首要任务。</w:t>
      </w:r>
    </w:p>
    <w:p w14:paraId="6AB5599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预防为主：通过主动监控、定期巡检和性能分析，提前发现并消除潜在风险。</w:t>
      </w:r>
    </w:p>
    <w:p w14:paraId="4A4AB1A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流程驱动：建立并遵循标准化的服务管理流程（如事件、问题、变更、配置管理），确保服务交付的可控与可追溯。</w:t>
      </w:r>
    </w:p>
    <w:p w14:paraId="33F7979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持续改进：定期回顾服务绩效，分析故障根因，优化服务流程与技术方案，实现服务质量的螺旋式上升。</w:t>
      </w:r>
    </w:p>
    <w:p w14:paraId="228CA7C9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" w:name="_Toc1559"/>
      <w:r>
        <w:rPr>
          <w:rFonts w:hint="default"/>
          <w:lang w:val="en-US" w:eastAsia="zh-CN"/>
        </w:rPr>
        <w:t>服务范围与内容</w:t>
      </w:r>
      <w:bookmarkEnd w:id="5"/>
    </w:p>
    <w:p w14:paraId="5432E84B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9346"/>
      <w:r>
        <w:rPr>
          <w:rFonts w:hint="default"/>
          <w:lang w:val="en-US" w:eastAsia="zh-CN"/>
        </w:rPr>
        <w:t>服务范围</w:t>
      </w:r>
      <w:bookmarkEnd w:id="6"/>
    </w:p>
    <w:p w14:paraId="18EDE93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涵盖合同约定的所有硬件设备（包括但不限于服务器、网络设备、PC终端、打印机、复印机）及软件系统（操作系统、数据库、中间件、丰盈云业财一体化管理应用系统等）的运行监控、故障处理、日常维护、性能优化及技术支持。</w:t>
      </w:r>
    </w:p>
    <w:p w14:paraId="079D469B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18124"/>
      <w:r>
        <w:rPr>
          <w:rFonts w:hint="default"/>
          <w:lang w:val="en-US" w:eastAsia="zh-CN"/>
        </w:rPr>
        <w:t>核心服务内容</w:t>
      </w:r>
      <w:bookmarkEnd w:id="7"/>
    </w:p>
    <w:p w14:paraId="08EC27D8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27383"/>
      <w:r>
        <w:rPr>
          <w:rFonts w:hint="default"/>
          <w:lang w:val="en-US" w:eastAsia="zh-CN"/>
        </w:rPr>
        <w:t>驻场运维团队服务</w:t>
      </w:r>
      <w:bookmarkEnd w:id="8"/>
    </w:p>
    <w:p w14:paraId="22E2830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我方将为本项目组建并派驻一支由3名专业工程师构成的现场服务团队，实行A/B岗互补与轮值机制，确保服务覆盖全年365天。团队基本配置如下：</w:t>
      </w:r>
    </w:p>
    <w:tbl>
      <w:tblPr>
        <w:tblStyle w:val="20"/>
        <w:tblW w:w="935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2"/>
        <w:gridCol w:w="925"/>
        <w:gridCol w:w="7005"/>
      </w:tblGrid>
      <w:tr w14:paraId="300E9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422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1674A1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岗位名称</w:t>
            </w:r>
          </w:p>
        </w:tc>
        <w:tc>
          <w:tcPr>
            <w:tcW w:w="925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9EA0E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人数</w:t>
            </w:r>
          </w:p>
        </w:tc>
        <w:tc>
          <w:tcPr>
            <w:tcW w:w="7005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34AED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主要职责概述</w:t>
            </w:r>
          </w:p>
        </w:tc>
      </w:tr>
      <w:tr w14:paraId="4A955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22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3C3194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现场项目经理</w:t>
            </w:r>
          </w:p>
        </w:tc>
        <w:tc>
          <w:tcPr>
            <w:tcW w:w="925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98BBE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7005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AA4A4E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对应“运维项目经理”岗位职责。负责项目现场全面管理，包括服务计划制定、团队协调、客户沟通、SLA监控、服务报告编制及服务质量持续改进。作为与甲方对接的第一责任人。</w:t>
            </w:r>
          </w:p>
        </w:tc>
      </w:tr>
      <w:tr w14:paraId="629FF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22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773DDA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运维工程师</w:t>
            </w:r>
          </w:p>
        </w:tc>
        <w:tc>
          <w:tcPr>
            <w:tcW w:w="925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18301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8</w:t>
            </w:r>
          </w:p>
        </w:tc>
        <w:tc>
          <w:tcPr>
            <w:tcW w:w="7005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52B49B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对应“运维工程师”及“服务台专员”部分职责。负责日常巡检、监控告警处理、桌面支持、硬件故障排查、数据备份执行、系统安装配置及服务台一线响应等工作。</w:t>
            </w:r>
          </w:p>
        </w:tc>
      </w:tr>
    </w:tbl>
    <w:p w14:paraId="52A1A5B6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4685"/>
      <w:r>
        <w:rPr>
          <w:rFonts w:hint="default"/>
          <w:lang w:val="en-US" w:eastAsia="zh-CN"/>
        </w:rPr>
        <w:t>运维管理平台支撑</w:t>
      </w:r>
      <w:bookmarkEnd w:id="9"/>
    </w:p>
    <w:p w14:paraId="3F645FE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免费提供我方自主运维管理平台的访问权限（不少于3个管理账号），该平台集成以下功能模块，实现对运维工作的信息化、流程化管理：</w:t>
      </w:r>
    </w:p>
    <w:p w14:paraId="1F98DA3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服务台/事件管理：统一受理、派单、跟踪、闭环所有服务请求与故障申告。</w:t>
      </w:r>
    </w:p>
    <w:p w14:paraId="3B44DD5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配置管理数据库：建立并动态维护服务范围内所有资产的配置项及其关系。</w:t>
      </w:r>
    </w:p>
    <w:p w14:paraId="61A0D72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知识库管理：沉淀故障解决方案、操作手册，促进知识共享与复用。</w:t>
      </w:r>
    </w:p>
    <w:p w14:paraId="04D4515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备件管理：实现备件库存、申领、更换的线上流程管理。</w:t>
      </w:r>
    </w:p>
    <w:p w14:paraId="7052BA6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报表统计：自动生成服务量、SLA达成率、故障趋势等各类服务报表。</w:t>
      </w:r>
    </w:p>
    <w:p w14:paraId="3EC47217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" w:name="_Toc505"/>
      <w:r>
        <w:rPr>
          <w:rFonts w:hint="default"/>
          <w:lang w:val="en-US" w:eastAsia="zh-CN"/>
        </w:rPr>
        <w:t>资产全生命周期管理</w:t>
      </w:r>
      <w:bookmarkEnd w:id="10"/>
    </w:p>
    <w:p w14:paraId="14BB796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在进驻后15个工作日内完成首次资产普查，建立详尽的资产配置库。每季度进行资产复审与信息更新，确保账实相符，为运维决策提供准确数据支持。</w:t>
      </w:r>
    </w:p>
    <w:p w14:paraId="37CB5514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1" w:name="_Toc24159"/>
      <w:r>
        <w:rPr>
          <w:rFonts w:hint="default"/>
          <w:lang w:val="en-US" w:eastAsia="zh-CN"/>
        </w:rPr>
        <w:t>服务响应与故障处理</w:t>
      </w:r>
      <w:bookmarkEnd w:id="11"/>
    </w:p>
    <w:p w14:paraId="563F4B2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响应承诺：提供7x24小时不间断服务响应。工作日内现场响应时间≤10分钟。</w:t>
      </w:r>
    </w:p>
    <w:p w14:paraId="26E698F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分级处理机制：严格遵循以下定义的故障级别与解决时限要求，确保关键业务优先恢复。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55"/>
        <w:gridCol w:w="1848"/>
        <w:gridCol w:w="1298"/>
        <w:gridCol w:w="2174"/>
        <w:gridCol w:w="1623"/>
      </w:tblGrid>
      <w:tr w14:paraId="79608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55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281920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故障级别</w:t>
            </w:r>
          </w:p>
        </w:tc>
        <w:tc>
          <w:tcPr>
            <w:tcW w:w="184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A4FD6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定义</w:t>
            </w:r>
          </w:p>
        </w:tc>
        <w:tc>
          <w:tcPr>
            <w:tcW w:w="129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92A26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响应时间</w:t>
            </w:r>
          </w:p>
        </w:tc>
        <w:tc>
          <w:tcPr>
            <w:tcW w:w="21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371A9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解决/恢复时限要求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D7B61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报告要求</w:t>
            </w:r>
          </w:p>
        </w:tc>
      </w:tr>
      <w:tr w14:paraId="63C34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5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6E6188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一级：重大故障</w:t>
            </w:r>
          </w:p>
        </w:tc>
        <w:tc>
          <w:tcPr>
            <w:tcW w:w="184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B8FAD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系统瘫痪，核心业务中断。</w:t>
            </w:r>
          </w:p>
        </w:tc>
        <w:tc>
          <w:tcPr>
            <w:tcW w:w="129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EC140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≤20分钟</w:t>
            </w:r>
          </w:p>
        </w:tc>
        <w:tc>
          <w:tcPr>
            <w:tcW w:w="21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3DDDD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2小时内恢复核心业务，24小时内彻底解决。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D18410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24小时内提交详细故障分析报告。</w:t>
            </w:r>
          </w:p>
        </w:tc>
      </w:tr>
      <w:tr w14:paraId="0C077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5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EF3F09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二级：严重故障</w:t>
            </w:r>
          </w:p>
        </w:tc>
        <w:tc>
          <w:tcPr>
            <w:tcW w:w="184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FF0C9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系统性能严重下降，部分业务受影响。</w:t>
            </w:r>
          </w:p>
        </w:tc>
        <w:tc>
          <w:tcPr>
            <w:tcW w:w="129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F548A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≤30分钟</w:t>
            </w:r>
          </w:p>
        </w:tc>
        <w:tc>
          <w:tcPr>
            <w:tcW w:w="21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CD674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4小时内业务显著改善，24小时内解决。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A99113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故障处理后提交事件记录。</w:t>
            </w:r>
          </w:p>
        </w:tc>
      </w:tr>
      <w:tr w14:paraId="1038F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5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CC3F00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三级：一般故障</w:t>
            </w:r>
          </w:p>
        </w:tc>
        <w:tc>
          <w:tcPr>
            <w:tcW w:w="184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27EBB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局部功能异常，不影响核心业务。</w:t>
            </w:r>
          </w:p>
        </w:tc>
        <w:tc>
          <w:tcPr>
            <w:tcW w:w="129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C33C6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≤1小时</w:t>
            </w:r>
          </w:p>
        </w:tc>
        <w:tc>
          <w:tcPr>
            <w:tcW w:w="217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4DF42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48小时内解决。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522B3E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纳入周期性服务报告。</w:t>
            </w:r>
          </w:p>
        </w:tc>
      </w:tr>
    </w:tbl>
    <w:p w14:paraId="4885AD0B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2" w:name="_Toc29083"/>
      <w:r>
        <w:rPr>
          <w:rFonts w:hint="default"/>
          <w:lang w:val="en-US" w:eastAsia="zh-CN"/>
        </w:rPr>
        <w:t>备品备件保障服务</w:t>
      </w:r>
      <w:bookmarkEnd w:id="12"/>
    </w:p>
    <w:p w14:paraId="51DEDCD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在甲方现场设立专属备件库，库存清单与合同承诺一致。备件均为原厂或认证渠道产品。建立严格的备件管理制度，定期盘点与测试，确保紧急情况下可即时启用。</w:t>
      </w:r>
    </w:p>
    <w:p w14:paraId="4B8C86D2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3" w:name="_Toc32394"/>
      <w:r>
        <w:rPr>
          <w:rFonts w:hint="default"/>
          <w:lang w:val="en-US" w:eastAsia="zh-CN"/>
        </w:rPr>
        <w:t>系统优化与改善服务</w:t>
      </w:r>
      <w:bookmarkEnd w:id="13"/>
    </w:p>
    <w:p w14:paraId="635D721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提供主动式性能监控与优化服务，包括但不限于：系统资源使用分析、数据库性能调优、应用响应时间优化、架构改进建议等，每季度提供系统性能评估与优化建议报告。</w:t>
      </w:r>
    </w:p>
    <w:p w14:paraId="11082C2E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4" w:name="_Toc1030"/>
      <w:r>
        <w:rPr>
          <w:rFonts w:hint="default"/>
          <w:lang w:val="en-US" w:eastAsia="zh-CN"/>
        </w:rPr>
        <w:t>数据管理与备份服务</w:t>
      </w:r>
      <w:bookmarkEnd w:id="14"/>
    </w:p>
    <w:p w14:paraId="53670C4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协助甲方制定并执行数据备份策略，定期验证备份数据的有效性与可恢复性。提供数据归档、清理（老化）建议，确保数据安全与存储空间合理利用。</w:t>
      </w:r>
    </w:p>
    <w:p w14:paraId="45C76335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Toc11814"/>
      <w:r>
        <w:rPr>
          <w:rFonts w:hint="default"/>
          <w:lang w:val="en-US" w:eastAsia="zh-CN"/>
        </w:rPr>
        <w:t>应急响应与事故运维</w:t>
      </w:r>
      <w:bookmarkEnd w:id="15"/>
    </w:p>
    <w:p w14:paraId="2A960E6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制定并维护针对不同场景的《系统应急响应预案》。定期组织演练，确保在发生重大故障或安全事件时，能迅速启动预案，协同各方资源，最大限度减少损失。</w:t>
      </w:r>
    </w:p>
    <w:p w14:paraId="16AC04C0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6" w:name="_Toc441"/>
      <w:r>
        <w:rPr>
          <w:rFonts w:hint="default"/>
          <w:lang w:val="en-US" w:eastAsia="zh-CN"/>
        </w:rPr>
        <w:t>服务交付管理体系</w:t>
      </w:r>
      <w:bookmarkEnd w:id="16"/>
    </w:p>
    <w:p w14:paraId="7995ADED">
      <w:pPr>
        <w:pStyle w:val="30"/>
        <w:bidi w:val="0"/>
        <w:rPr>
          <w:rFonts w:hint="default"/>
          <w:lang w:val="en-US" w:eastAsia="zh-CN"/>
        </w:rPr>
      </w:pPr>
      <w:bookmarkStart w:id="17" w:name="_Toc19481"/>
      <w:r>
        <w:rPr>
          <w:rFonts w:hint="default"/>
          <w:lang w:val="en-US" w:eastAsia="zh-CN"/>
        </w:rPr>
        <w:t>组织架构与人员配置</w:t>
      </w:r>
      <w:bookmarkEnd w:id="17"/>
    </w:p>
    <w:p w14:paraId="065E9BA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项目采用“前后端协同”的服务组织模式。前端为现场驻场团队，直接面向甲方提供服务；后端为我司二线技术专家团队（涵盖研发、架构、资深运维等角色）及质量效能部，提供深度技术支撑与独立的质量监督。</w:t>
      </w:r>
    </w:p>
    <w:p w14:paraId="373DCCE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直属关系：现场项目经理向我司“运维管理部经理”汇报，并接受“质量效能部”的过程审计。</w:t>
      </w:r>
    </w:p>
    <w:p w14:paraId="3D273F7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人员资质：所有派驻人员均符合我司《人员岗位说明书》中对应岗位的任职资格要求，并经过严格筛选与培训。</w:t>
      </w:r>
    </w:p>
    <w:p w14:paraId="46646664">
      <w:pPr>
        <w:pStyle w:val="30"/>
        <w:bidi w:val="0"/>
        <w:rPr>
          <w:rFonts w:hint="default"/>
          <w:lang w:val="en-US" w:eastAsia="zh-CN"/>
        </w:rPr>
      </w:pPr>
      <w:bookmarkStart w:id="18" w:name="_Toc11484"/>
      <w:r>
        <w:rPr>
          <w:rFonts w:hint="default"/>
          <w:lang w:val="en-US" w:eastAsia="zh-CN"/>
        </w:rPr>
        <w:t>岗位职责说明</w:t>
      </w:r>
      <w:bookmarkEnd w:id="18"/>
    </w:p>
    <w:p w14:paraId="72F6290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为确保服务交付的规范性与专业性，本项目关键岗位职责与我司标准岗位说明书高度统一：</w:t>
      </w:r>
    </w:p>
    <w:tbl>
      <w:tblPr>
        <w:tblStyle w:val="20"/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15"/>
        <w:gridCol w:w="1716"/>
        <w:gridCol w:w="5393"/>
      </w:tblGrid>
      <w:tr w14:paraId="7C267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1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172B0E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项目角色</w:t>
            </w:r>
          </w:p>
        </w:tc>
        <w:tc>
          <w:tcPr>
            <w:tcW w:w="1716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F0ED23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对应公司岗位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800BB6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核心职责关联点</w:t>
            </w:r>
          </w:p>
        </w:tc>
      </w:tr>
      <w:tr w14:paraId="7BC0E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1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49082C1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现场项目经理</w:t>
            </w:r>
          </w:p>
        </w:tc>
        <w:tc>
          <w:tcPr>
            <w:tcW w:w="1716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D4F16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运维项目经理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88A4DB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全生命周期项目管理、客户关系与SLA管理、资源协调、团队指导。</w:t>
            </w:r>
          </w:p>
        </w:tc>
      </w:tr>
      <w:tr w14:paraId="69176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1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7889EA2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驻场运维工程师</w:t>
            </w:r>
          </w:p>
        </w:tc>
        <w:tc>
          <w:tcPr>
            <w:tcW w:w="1716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AA69E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运维工程师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4291C6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技术服务交付、系统监控维护、故障一线处理、技术文档编写。</w:t>
            </w:r>
          </w:p>
        </w:tc>
      </w:tr>
      <w:tr w14:paraId="62419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1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0E854B6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（平台支持）服务知识专员</w:t>
            </w:r>
          </w:p>
        </w:tc>
        <w:tc>
          <w:tcPr>
            <w:tcW w:w="1716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07369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服务知识专员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018FD6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负责本项目在运维平台上沉淀的知识条目审核、分类与维护。</w:t>
            </w:r>
          </w:p>
        </w:tc>
      </w:tr>
      <w:tr w14:paraId="208E5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1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980FDB3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（后端支持）质量效能部</w:t>
            </w:r>
          </w:p>
        </w:tc>
        <w:tc>
          <w:tcPr>
            <w:tcW w:w="1716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0303A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质量管理专员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1599B1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独立监督本项目服务质量，执行客户满意度调查，推动服务过程改进。</w:t>
            </w:r>
          </w:p>
        </w:tc>
      </w:tr>
    </w:tbl>
    <w:p w14:paraId="3A33D23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 w14:paraId="5088139D">
      <w:pPr>
        <w:pStyle w:val="30"/>
        <w:bidi w:val="0"/>
        <w:rPr>
          <w:rFonts w:hint="default"/>
          <w:lang w:val="en-US" w:eastAsia="zh-CN"/>
        </w:rPr>
      </w:pPr>
      <w:bookmarkStart w:id="19" w:name="_Toc23900"/>
      <w:r>
        <w:rPr>
          <w:rFonts w:hint="default"/>
          <w:lang w:val="en-US" w:eastAsia="zh-CN"/>
        </w:rPr>
        <w:t>服务流程管理</w:t>
      </w:r>
      <w:bookmarkEnd w:id="19"/>
    </w:p>
    <w:p w14:paraId="393B585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依托运维管理平台，将事件管理、问题管理、变更管理、配置管理等IT服务管理流程标准化、线上化，确保每项服务工作有记录、可追踪、可度量。</w:t>
      </w:r>
    </w:p>
    <w:p w14:paraId="4511D392">
      <w:pPr>
        <w:pStyle w:val="30"/>
        <w:bidi w:val="0"/>
        <w:rPr>
          <w:rFonts w:hint="default"/>
          <w:lang w:val="en-US" w:eastAsia="zh-CN"/>
        </w:rPr>
      </w:pPr>
      <w:bookmarkStart w:id="20" w:name="_Toc23597"/>
      <w:r>
        <w:rPr>
          <w:rFonts w:hint="default"/>
          <w:lang w:val="en-US" w:eastAsia="zh-CN"/>
        </w:rPr>
        <w:t>服务质量控制</w:t>
      </w:r>
      <w:bookmarkEnd w:id="20"/>
    </w:p>
    <w:p w14:paraId="2E21BDE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SLA监控：实时监控并月度报告服务级别协议达成情况。</w:t>
      </w:r>
    </w:p>
    <w:p w14:paraId="2D5DC43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客户满意度调查：每季度进行一次正式客户满意度调研。</w:t>
      </w:r>
    </w:p>
    <w:p w14:paraId="5673BE2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内部评审：质量效能部定期对项目进行内审，检查流程符合性。</w:t>
      </w:r>
    </w:p>
    <w:p w14:paraId="3DF9BF9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管理例会：每月召开项目服务评审会，与客户沟通服务情况与改进计划。</w:t>
      </w:r>
    </w:p>
    <w:p w14:paraId="5A4836E7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1" w:name="_Toc21689"/>
      <w:r>
        <w:rPr>
          <w:rFonts w:hint="default"/>
          <w:lang w:val="en-US" w:eastAsia="zh-CN"/>
        </w:rPr>
        <w:t>服务保障措施</w:t>
      </w:r>
      <w:bookmarkEnd w:id="21"/>
    </w:p>
    <w:p w14:paraId="7E9316C5">
      <w:pPr>
        <w:pStyle w:val="30"/>
        <w:bidi w:val="0"/>
        <w:rPr>
          <w:rFonts w:hint="default"/>
          <w:lang w:val="en-US" w:eastAsia="zh-CN"/>
        </w:rPr>
      </w:pPr>
      <w:bookmarkStart w:id="22" w:name="_Toc23116"/>
      <w:r>
        <w:rPr>
          <w:rFonts w:hint="default"/>
          <w:lang w:val="en-US" w:eastAsia="zh-CN"/>
        </w:rPr>
        <w:t>资源保障</w:t>
      </w:r>
      <w:bookmarkEnd w:id="22"/>
    </w:p>
    <w:p w14:paraId="6C6C133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确保项目所需的人力、备件、工具软件等资源充足、可用。建立针对本项目的人员备份机制与升级上报通道。</w:t>
      </w:r>
    </w:p>
    <w:p w14:paraId="4E377BB6">
      <w:pPr>
        <w:pStyle w:val="30"/>
        <w:bidi w:val="0"/>
        <w:rPr>
          <w:rFonts w:hint="default"/>
          <w:lang w:val="en-US" w:eastAsia="zh-CN"/>
        </w:rPr>
      </w:pPr>
      <w:bookmarkStart w:id="23" w:name="_Toc20830"/>
      <w:r>
        <w:rPr>
          <w:rFonts w:hint="default"/>
          <w:lang w:val="en-US" w:eastAsia="zh-CN"/>
        </w:rPr>
        <w:t>技术保障</w:t>
      </w:r>
      <w:bookmarkEnd w:id="23"/>
    </w:p>
    <w:p w14:paraId="3BE78A1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充分利用我司在人力资源管理系统领域的技术积累和专家资源，为复杂问题提供快速解决方案。定期对驻场团队进行新技术、新流程培训。</w:t>
      </w:r>
    </w:p>
    <w:p w14:paraId="68067F4F">
      <w:pPr>
        <w:pStyle w:val="30"/>
        <w:bidi w:val="0"/>
        <w:rPr>
          <w:rFonts w:hint="default"/>
          <w:lang w:val="en-US" w:eastAsia="zh-CN"/>
        </w:rPr>
      </w:pPr>
      <w:bookmarkStart w:id="24" w:name="_Toc5235"/>
      <w:r>
        <w:rPr>
          <w:rFonts w:hint="default"/>
          <w:lang w:val="en-US" w:eastAsia="zh-CN"/>
        </w:rPr>
        <w:t>保密与安全措施</w:t>
      </w:r>
      <w:bookmarkEnd w:id="24"/>
    </w:p>
    <w:p w14:paraId="4516DD8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所有服务人员入职即签订保密协议。严格遵守甲方信息安全制度，对运维操作进行审计日志记录。废旧存储介质（如硬盘）的销毁将按甲方要求处理。</w:t>
      </w:r>
    </w:p>
    <w:p w14:paraId="25F7933D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5" w:name="_Toc21315"/>
      <w:r>
        <w:rPr>
          <w:rFonts w:hint="default"/>
          <w:lang w:val="en-US" w:eastAsia="zh-CN"/>
        </w:rPr>
        <w:t>服务交付物与报告机制</w:t>
      </w:r>
      <w:bookmarkEnd w:id="25"/>
    </w:p>
    <w:p w14:paraId="60D2F57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日常交付物：每日/每周巡检报告、故障处理记录。</w:t>
      </w:r>
    </w:p>
    <w:p w14:paraId="07E6DCC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周期性报告：月度服务报告（含SLA达成、事件分析、工作摘要）、季度系统健康检查与性能评估报告、半年度/年度全面总结报告。</w:t>
      </w:r>
    </w:p>
    <w:p w14:paraId="2BE635F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专项报告：重大故障分析报告、应急演练总结报告、资产盘点报告。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6DDB8C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北京新都远景网络技术有限公司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0969AD"/>
    <w:rsid w:val="02437453"/>
    <w:rsid w:val="05263B5D"/>
    <w:rsid w:val="05AD3936"/>
    <w:rsid w:val="0DB461AA"/>
    <w:rsid w:val="1399374C"/>
    <w:rsid w:val="14B22D17"/>
    <w:rsid w:val="156758B0"/>
    <w:rsid w:val="198C1D89"/>
    <w:rsid w:val="1F5666D0"/>
    <w:rsid w:val="25C91C6F"/>
    <w:rsid w:val="267C4F33"/>
    <w:rsid w:val="26CC7C68"/>
    <w:rsid w:val="26D11723"/>
    <w:rsid w:val="27AA4F6F"/>
    <w:rsid w:val="29E90B31"/>
    <w:rsid w:val="2DC31699"/>
    <w:rsid w:val="2EA74B17"/>
    <w:rsid w:val="30E5751A"/>
    <w:rsid w:val="3278079C"/>
    <w:rsid w:val="37D22C05"/>
    <w:rsid w:val="383843EC"/>
    <w:rsid w:val="3FB62E0C"/>
    <w:rsid w:val="3FE23C01"/>
    <w:rsid w:val="41A56DD6"/>
    <w:rsid w:val="4FFD1117"/>
    <w:rsid w:val="529E42FF"/>
    <w:rsid w:val="552503C0"/>
    <w:rsid w:val="5827693E"/>
    <w:rsid w:val="59305585"/>
    <w:rsid w:val="5CFC40FC"/>
    <w:rsid w:val="5E341674"/>
    <w:rsid w:val="605129B1"/>
    <w:rsid w:val="62073330"/>
    <w:rsid w:val="661324B7"/>
    <w:rsid w:val="6EF9291E"/>
    <w:rsid w:val="6F3A1760"/>
    <w:rsid w:val="708741CD"/>
    <w:rsid w:val="738642C8"/>
    <w:rsid w:val="79297BCF"/>
    <w:rsid w:val="795409C4"/>
    <w:rsid w:val="7ADB3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link w:val="43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character" w:customStyle="1" w:styleId="43">
    <w:name w:val="柴_标题3 Char"/>
    <w:link w:val="31"/>
    <w:qFormat/>
    <w:uiPriority w:val="0"/>
    <w:rPr>
      <w:rFonts w:ascii="宋体" w:hAnsi="宋体" w:eastAsia="宋体" w:cs="宋体"/>
      <w:spacing w:val="-2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3195</Words>
  <Characters>3373</Characters>
  <Lines>0</Lines>
  <Paragraphs>0</Paragraphs>
  <TotalTime>0</TotalTime>
  <ScaleCrop>false</ScaleCrop>
  <LinksUpToDate>false</LinksUpToDate>
  <CharactersWithSpaces>3580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2026-01-14T23:02:10Z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