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28E755">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1702"/>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14:paraId="66BA8928">
      <w:pPr>
        <w:keepNext w:val="0"/>
        <w:keepLines w:val="0"/>
        <w:pageBreakBefore w:val="0"/>
        <w:widowControl w:val="0"/>
        <w:suppressLineNumbers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黑体" w:hAnsi="黑体" w:eastAsia="黑体" w:cs="黑体"/>
          <w:b/>
          <w:bCs/>
          <w:snapToGrid w:val="0"/>
          <w:color w:val="000000"/>
          <w:spacing w:val="-7"/>
          <w:kern w:val="0"/>
          <w:sz w:val="52"/>
          <w:szCs w:val="52"/>
          <w:lang w:val="en-US" w:eastAsia="zh-CN" w:bidi="ar-SA"/>
        </w:rPr>
      </w:pPr>
      <w:r>
        <w:rPr>
          <w:rFonts w:hint="default" w:ascii="黑体" w:hAnsi="黑体" w:eastAsia="黑体" w:cs="黑体"/>
          <w:b/>
          <w:bCs/>
          <w:snapToGrid w:val="0"/>
          <w:color w:val="000000"/>
          <w:spacing w:val="-7"/>
          <w:kern w:val="0"/>
          <w:sz w:val="52"/>
          <w:szCs w:val="52"/>
          <w:lang w:val="en-US" w:eastAsia="zh-CN" w:bidi="ar-SA"/>
        </w:rPr>
        <w:t>丰盈云人力资源服务业财一体化管理系统技术服务项目</w:t>
      </w:r>
      <w:r>
        <w:rPr>
          <w:rFonts w:hint="eastAsia" w:ascii="黑体" w:hAnsi="黑体" w:eastAsia="黑体" w:cs="黑体"/>
          <w:b/>
          <w:bCs/>
          <w:snapToGrid w:val="0"/>
          <w:color w:val="000000"/>
          <w:spacing w:val="-7"/>
          <w:kern w:val="0"/>
          <w:sz w:val="52"/>
          <w:szCs w:val="52"/>
          <w:lang w:val="en-US" w:eastAsia="zh-CN" w:bidi="ar-SA"/>
        </w:rPr>
        <w:t>-总结报告</w:t>
      </w:r>
    </w:p>
    <w:p w14:paraId="060289FA">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9</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5</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94F8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32FAB1E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运维管理部</w:t>
            </w:r>
          </w:p>
        </w:tc>
        <w:tc>
          <w:tcPr>
            <w:tcW w:w="2708" w:type="dxa"/>
          </w:tcPr>
          <w:p w14:paraId="41975A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32818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9D9C96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40E073D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19FB0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74CD4A4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孙玥</w:t>
            </w:r>
          </w:p>
        </w:tc>
        <w:tc>
          <w:tcPr>
            <w:tcW w:w="2708" w:type="dxa"/>
          </w:tcPr>
          <w:p w14:paraId="23169B8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2025.11.20</w:t>
            </w:r>
          </w:p>
        </w:tc>
      </w:tr>
    </w:tbl>
    <w:p w14:paraId="7BDFCFB1">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46C0A76">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64CF0A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36A40A78">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1B53BF60">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54021701">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33590EC9">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04FFD9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4D13B7CC">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2025.11.</w:t>
            </w:r>
            <w:r>
              <w:rPr>
                <w:rFonts w:hint="eastAsia" w:ascii="宋体" w:hAnsi="宋体" w:cs="宋体"/>
                <w:spacing w:val="3"/>
                <w:position w:val="1"/>
                <w:sz w:val="20"/>
                <w:szCs w:val="20"/>
                <w:lang w:val="en-US" w:eastAsia="zh-CN"/>
              </w:rPr>
              <w:t>30</w:t>
            </w:r>
          </w:p>
        </w:tc>
        <w:tc>
          <w:tcPr>
            <w:tcW w:w="919" w:type="dxa"/>
          </w:tcPr>
          <w:p w14:paraId="4810A3A5">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01F068A5">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61B9969C">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孙玥</w:t>
            </w:r>
          </w:p>
        </w:tc>
      </w:tr>
      <w:tr w14:paraId="5AF64D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6C62E00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2AE0360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7B6C051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2F15C86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6932F4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79C11C5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7397CD2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15724BF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0FDCCD9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2781DB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166A35A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46F0613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7E779E5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14153DA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4469BD0D">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EFD8EBE">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0FA01B0">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_Toc31702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_Toc31702 \h </w:instrText>
          </w:r>
          <w:r>
            <w:fldChar w:fldCharType="separate"/>
          </w:r>
          <w:r>
            <w:t>1</w:t>
          </w:r>
          <w:r>
            <w:fldChar w:fldCharType="end"/>
          </w:r>
          <w:r>
            <w:rPr>
              <w:rFonts w:hint="eastAsia" w:ascii="宋体" w:hAnsi="宋体" w:eastAsia="宋体" w:cs="宋体"/>
              <w:szCs w:val="24"/>
            </w:rPr>
            <w:fldChar w:fldCharType="end"/>
          </w:r>
        </w:p>
        <w:p w14:paraId="25DB37B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_Toc4520 </w:instrText>
          </w:r>
          <w:r>
            <w:rPr>
              <w:rFonts w:hint="eastAsia" w:ascii="宋体" w:hAnsi="宋体" w:eastAsia="宋体" w:cs="宋体"/>
              <w:szCs w:val="24"/>
            </w:rPr>
            <w:fldChar w:fldCharType="separate"/>
          </w:r>
          <w:r>
            <w:rPr>
              <w:rFonts w:hint="default"/>
              <w:lang w:val="en-US" w:eastAsia="zh-CN"/>
            </w:rPr>
            <w:t>1. 项目概述</w:t>
          </w:r>
          <w:r>
            <w:tab/>
          </w:r>
          <w:r>
            <w:fldChar w:fldCharType="begin"/>
          </w:r>
          <w:r>
            <w:instrText xml:space="preserve"> PAGEREF _Toc4520 \h </w:instrText>
          </w:r>
          <w:r>
            <w:fldChar w:fldCharType="separate"/>
          </w:r>
          <w:r>
            <w:t>4</w:t>
          </w:r>
          <w:r>
            <w:fldChar w:fldCharType="end"/>
          </w:r>
          <w:r>
            <w:rPr>
              <w:rFonts w:hint="eastAsia" w:ascii="宋体" w:hAnsi="宋体" w:eastAsia="宋体" w:cs="宋体"/>
              <w:szCs w:val="24"/>
            </w:rPr>
            <w:fldChar w:fldCharType="end"/>
          </w:r>
        </w:p>
        <w:p w14:paraId="795A1A1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_Toc12579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阶段目标完成情况</w:t>
          </w:r>
          <w:r>
            <w:tab/>
          </w:r>
          <w:r>
            <w:fldChar w:fldCharType="begin"/>
          </w:r>
          <w:r>
            <w:instrText xml:space="preserve"> PAGEREF _Toc12579 \h </w:instrText>
          </w:r>
          <w:r>
            <w:fldChar w:fldCharType="separate"/>
          </w:r>
          <w:r>
            <w:t>4</w:t>
          </w:r>
          <w:r>
            <w:fldChar w:fldCharType="end"/>
          </w:r>
          <w:r>
            <w:rPr>
              <w:rFonts w:hint="eastAsia" w:ascii="宋体" w:hAnsi="宋体" w:eastAsia="宋体" w:cs="宋体"/>
              <w:szCs w:val="24"/>
            </w:rPr>
            <w:fldChar w:fldCharType="end"/>
          </w:r>
        </w:p>
        <w:p w14:paraId="7AD82DD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_Toc32713 </w:instrText>
          </w:r>
          <w:r>
            <w:rPr>
              <w:rFonts w:hint="eastAsia" w:ascii="宋体" w:hAnsi="宋体" w:eastAsia="宋体" w:cs="宋体"/>
              <w:szCs w:val="24"/>
            </w:rPr>
            <w:fldChar w:fldCharType="separate"/>
          </w:r>
          <w:r>
            <w:rPr>
              <w:rFonts w:hint="default"/>
              <w:lang w:val="en-US" w:eastAsia="zh-CN"/>
            </w:rPr>
            <w:t>3. 分阶段实施内容总结</w:t>
          </w:r>
          <w:r>
            <w:tab/>
          </w:r>
          <w:r>
            <w:fldChar w:fldCharType="begin"/>
          </w:r>
          <w:r>
            <w:instrText xml:space="preserve"> PAGEREF _Toc32713 \h </w:instrText>
          </w:r>
          <w:r>
            <w:fldChar w:fldCharType="separate"/>
          </w:r>
          <w:r>
            <w:t>4</w:t>
          </w:r>
          <w:r>
            <w:fldChar w:fldCharType="end"/>
          </w:r>
          <w:r>
            <w:rPr>
              <w:rFonts w:hint="eastAsia" w:ascii="宋体" w:hAnsi="宋体" w:eastAsia="宋体" w:cs="宋体"/>
              <w:szCs w:val="24"/>
            </w:rPr>
            <w:fldChar w:fldCharType="end"/>
          </w:r>
        </w:p>
        <w:p w14:paraId="4E8989C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_Toc23749 </w:instrText>
          </w:r>
          <w:r>
            <w:rPr>
              <w:rFonts w:hint="eastAsia" w:ascii="宋体" w:hAnsi="宋体" w:eastAsia="宋体" w:cs="宋体"/>
              <w:szCs w:val="24"/>
            </w:rPr>
            <w:fldChar w:fldCharType="separate"/>
          </w:r>
          <w:r>
            <w:rPr>
              <w:rFonts w:hint="default"/>
              <w:lang w:val="en-US" w:eastAsia="zh-CN"/>
            </w:rPr>
            <w:t>3.1. 项目启动与团队入驻（已完成）</w:t>
          </w:r>
          <w:r>
            <w:tab/>
          </w:r>
          <w:r>
            <w:fldChar w:fldCharType="begin"/>
          </w:r>
          <w:r>
            <w:instrText xml:space="preserve"> PAGEREF _Toc23749 \h </w:instrText>
          </w:r>
          <w:r>
            <w:fldChar w:fldCharType="separate"/>
          </w:r>
          <w:r>
            <w:t>4</w:t>
          </w:r>
          <w:r>
            <w:fldChar w:fldCharType="end"/>
          </w:r>
          <w:r>
            <w:rPr>
              <w:rFonts w:hint="eastAsia" w:ascii="宋体" w:hAnsi="宋体" w:eastAsia="宋体" w:cs="宋体"/>
              <w:szCs w:val="24"/>
            </w:rPr>
            <w:fldChar w:fldCharType="end"/>
          </w:r>
        </w:p>
        <w:p w14:paraId="0196678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_Toc14970 </w:instrText>
          </w:r>
          <w:r>
            <w:rPr>
              <w:rFonts w:hint="eastAsia" w:ascii="宋体" w:hAnsi="宋体" w:eastAsia="宋体" w:cs="宋体"/>
              <w:szCs w:val="24"/>
            </w:rPr>
            <w:fldChar w:fldCharType="separate"/>
          </w:r>
          <w:r>
            <w:rPr>
              <w:rFonts w:hint="default"/>
              <w:lang w:val="en-US" w:eastAsia="zh-CN"/>
            </w:rPr>
            <w:t>3.2. 服务交接与基线建立（已完成）</w:t>
          </w:r>
          <w:r>
            <w:tab/>
          </w:r>
          <w:r>
            <w:fldChar w:fldCharType="begin"/>
          </w:r>
          <w:r>
            <w:instrText xml:space="preserve"> PAGEREF _Toc14970 \h </w:instrText>
          </w:r>
          <w:r>
            <w:fldChar w:fldCharType="separate"/>
          </w:r>
          <w:r>
            <w:t>4</w:t>
          </w:r>
          <w:r>
            <w:fldChar w:fldCharType="end"/>
          </w:r>
          <w:r>
            <w:rPr>
              <w:rFonts w:hint="eastAsia" w:ascii="宋体" w:hAnsi="宋体" w:eastAsia="宋体" w:cs="宋体"/>
              <w:szCs w:val="24"/>
            </w:rPr>
            <w:fldChar w:fldCharType="end"/>
          </w:r>
        </w:p>
        <w:p w14:paraId="4601AE8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_Toc5393 </w:instrText>
          </w:r>
          <w:r>
            <w:rPr>
              <w:rFonts w:hint="eastAsia" w:ascii="宋体" w:hAnsi="宋体" w:eastAsia="宋体" w:cs="宋体"/>
              <w:szCs w:val="24"/>
            </w:rPr>
            <w:fldChar w:fldCharType="separate"/>
          </w:r>
          <w:r>
            <w:rPr>
              <w:rFonts w:hint="default"/>
              <w:lang w:val="en-US" w:eastAsia="zh-CN"/>
            </w:rPr>
            <w:t>3.3. 标准化运维服务执行（持续进行，状态稳定）</w:t>
          </w:r>
          <w:r>
            <w:tab/>
          </w:r>
          <w:r>
            <w:fldChar w:fldCharType="begin"/>
          </w:r>
          <w:r>
            <w:instrText xml:space="preserve"> PAGEREF _Toc5393 \h </w:instrText>
          </w:r>
          <w:r>
            <w:fldChar w:fldCharType="separate"/>
          </w:r>
          <w:r>
            <w:t>4</w:t>
          </w:r>
          <w:r>
            <w:fldChar w:fldCharType="end"/>
          </w:r>
          <w:r>
            <w:rPr>
              <w:rFonts w:hint="eastAsia" w:ascii="宋体" w:hAnsi="宋体" w:eastAsia="宋体" w:cs="宋体"/>
              <w:szCs w:val="24"/>
            </w:rPr>
            <w:fldChar w:fldCharType="end"/>
          </w:r>
        </w:p>
        <w:p w14:paraId="797CB4E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_Toc29979 </w:instrText>
          </w:r>
          <w:r>
            <w:rPr>
              <w:rFonts w:hint="eastAsia" w:ascii="宋体" w:hAnsi="宋体" w:eastAsia="宋体" w:cs="宋体"/>
              <w:szCs w:val="24"/>
            </w:rPr>
            <w:fldChar w:fldCharType="separate"/>
          </w:r>
          <w:r>
            <w:rPr>
              <w:rFonts w:hint="default"/>
              <w:lang w:val="en-US" w:eastAsia="zh-CN"/>
            </w:rPr>
            <w:t>3.4. 日常运维</w:t>
          </w:r>
          <w:r>
            <w:tab/>
          </w:r>
          <w:r>
            <w:fldChar w:fldCharType="begin"/>
          </w:r>
          <w:r>
            <w:instrText xml:space="preserve"> PAGEREF _Toc29979 \h </w:instrText>
          </w:r>
          <w:r>
            <w:fldChar w:fldCharType="separate"/>
          </w:r>
          <w:r>
            <w:t>5</w:t>
          </w:r>
          <w:r>
            <w:fldChar w:fldCharType="end"/>
          </w:r>
          <w:r>
            <w:rPr>
              <w:rFonts w:hint="eastAsia" w:ascii="宋体" w:hAnsi="宋体" w:eastAsia="宋体" w:cs="宋体"/>
              <w:szCs w:val="24"/>
            </w:rPr>
            <w:fldChar w:fldCharType="end"/>
          </w:r>
        </w:p>
        <w:p w14:paraId="2763522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_Toc25794 </w:instrText>
          </w:r>
          <w:r>
            <w:rPr>
              <w:rFonts w:hint="eastAsia" w:ascii="宋体" w:hAnsi="宋体" w:eastAsia="宋体" w:cs="宋体"/>
              <w:szCs w:val="24"/>
            </w:rPr>
            <w:fldChar w:fldCharType="separate"/>
          </w:r>
          <w:r>
            <w:rPr>
              <w:rFonts w:hint="default"/>
              <w:lang w:val="en-US" w:eastAsia="zh-CN"/>
            </w:rPr>
            <w:t>4. 资源投入与保障措施落实情况</w:t>
          </w:r>
          <w:r>
            <w:tab/>
          </w:r>
          <w:r>
            <w:fldChar w:fldCharType="begin"/>
          </w:r>
          <w:r>
            <w:instrText xml:space="preserve"> PAGEREF _Toc25794 \h </w:instrText>
          </w:r>
          <w:r>
            <w:fldChar w:fldCharType="separate"/>
          </w:r>
          <w:r>
            <w:t>5</w:t>
          </w:r>
          <w:r>
            <w:fldChar w:fldCharType="end"/>
          </w:r>
          <w:r>
            <w:rPr>
              <w:rFonts w:hint="eastAsia" w:ascii="宋体" w:hAnsi="宋体" w:eastAsia="宋体" w:cs="宋体"/>
              <w:szCs w:val="24"/>
            </w:rPr>
            <w:fldChar w:fldCharType="end"/>
          </w:r>
        </w:p>
        <w:p w14:paraId="5B3DC41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_Toc2282 </w:instrText>
          </w:r>
          <w:r>
            <w:rPr>
              <w:rFonts w:hint="eastAsia" w:ascii="宋体" w:hAnsi="宋体" w:eastAsia="宋体" w:cs="宋体"/>
              <w:szCs w:val="24"/>
            </w:rPr>
            <w:fldChar w:fldCharType="separate"/>
          </w:r>
          <w:r>
            <w:rPr>
              <w:rFonts w:hint="default"/>
              <w:lang w:val="en-US" w:eastAsia="zh-CN"/>
            </w:rPr>
            <w:t>5. 风险应对与待改进事项</w:t>
          </w:r>
          <w:r>
            <w:tab/>
          </w:r>
          <w:r>
            <w:fldChar w:fldCharType="begin"/>
          </w:r>
          <w:r>
            <w:instrText xml:space="preserve"> PAGEREF _Toc2282 \h </w:instrText>
          </w:r>
          <w:r>
            <w:fldChar w:fldCharType="separate"/>
          </w:r>
          <w:r>
            <w:t>5</w:t>
          </w:r>
          <w:r>
            <w:fldChar w:fldCharType="end"/>
          </w:r>
          <w:r>
            <w:rPr>
              <w:rFonts w:hint="eastAsia" w:ascii="宋体" w:hAnsi="宋体" w:eastAsia="宋体" w:cs="宋体"/>
              <w:szCs w:val="24"/>
            </w:rPr>
            <w:fldChar w:fldCharType="end"/>
          </w:r>
        </w:p>
        <w:p w14:paraId="7E8C5CE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_Toc7111 </w:instrText>
          </w:r>
          <w:r>
            <w:rPr>
              <w:rFonts w:hint="eastAsia" w:ascii="宋体" w:hAnsi="宋体" w:eastAsia="宋体" w:cs="宋体"/>
              <w:szCs w:val="24"/>
            </w:rPr>
            <w:fldChar w:fldCharType="separate"/>
          </w:r>
          <w:r>
            <w:rPr>
              <w:rFonts w:hint="default"/>
              <w:lang w:val="en-US" w:eastAsia="zh-CN"/>
            </w:rPr>
            <w:t>5.1. 已应对的风险</w:t>
          </w:r>
          <w:r>
            <w:tab/>
          </w:r>
          <w:r>
            <w:fldChar w:fldCharType="begin"/>
          </w:r>
          <w:r>
            <w:instrText xml:space="preserve"> PAGEREF _Toc7111 \h </w:instrText>
          </w:r>
          <w:r>
            <w:fldChar w:fldCharType="separate"/>
          </w:r>
          <w:r>
            <w:t>5</w:t>
          </w:r>
          <w:r>
            <w:fldChar w:fldCharType="end"/>
          </w:r>
          <w:r>
            <w:rPr>
              <w:rFonts w:hint="eastAsia" w:ascii="宋体" w:hAnsi="宋体" w:eastAsia="宋体" w:cs="宋体"/>
              <w:szCs w:val="24"/>
            </w:rPr>
            <w:fldChar w:fldCharType="end"/>
          </w:r>
        </w:p>
        <w:p w14:paraId="23A957E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_Toc6946 </w:instrText>
          </w:r>
          <w:r>
            <w:rPr>
              <w:rFonts w:hint="eastAsia" w:ascii="宋体" w:hAnsi="宋体" w:eastAsia="宋体" w:cs="宋体"/>
              <w:szCs w:val="24"/>
            </w:rPr>
            <w:fldChar w:fldCharType="separate"/>
          </w:r>
          <w:r>
            <w:rPr>
              <w:rFonts w:hint="default"/>
              <w:lang w:val="en-US" w:eastAsia="zh-CN"/>
            </w:rPr>
            <w:t>5.2. 待改进事项与后续计划</w:t>
          </w:r>
          <w:r>
            <w:tab/>
          </w:r>
          <w:r>
            <w:fldChar w:fldCharType="begin"/>
          </w:r>
          <w:r>
            <w:instrText xml:space="preserve"> PAGEREF _Toc6946 \h </w:instrText>
          </w:r>
          <w:r>
            <w:fldChar w:fldCharType="separate"/>
          </w:r>
          <w:r>
            <w:t>5</w:t>
          </w:r>
          <w:r>
            <w:fldChar w:fldCharType="end"/>
          </w:r>
          <w:r>
            <w:rPr>
              <w:rFonts w:hint="eastAsia" w:ascii="宋体" w:hAnsi="宋体" w:eastAsia="宋体" w:cs="宋体"/>
              <w:szCs w:val="24"/>
            </w:rPr>
            <w:fldChar w:fldCharType="end"/>
          </w:r>
        </w:p>
        <w:p w14:paraId="14EB332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_Toc4971 </w:instrText>
          </w:r>
          <w:r>
            <w:rPr>
              <w:rFonts w:hint="eastAsia" w:ascii="宋体" w:hAnsi="宋体" w:eastAsia="宋体" w:cs="宋体"/>
              <w:szCs w:val="24"/>
            </w:rPr>
            <w:fldChar w:fldCharType="separate"/>
          </w:r>
          <w:r>
            <w:rPr>
              <w:rFonts w:hint="default"/>
              <w:lang w:val="en-US" w:eastAsia="zh-CN"/>
            </w:rPr>
            <w:t>6. 下一阶段重点工作计划</w:t>
          </w:r>
          <w:r>
            <w:tab/>
          </w:r>
          <w:r>
            <w:fldChar w:fldCharType="begin"/>
          </w:r>
          <w:r>
            <w:instrText xml:space="preserve"> PAGEREF _Toc4971 \h </w:instrText>
          </w:r>
          <w:r>
            <w:fldChar w:fldCharType="separate"/>
          </w:r>
          <w:r>
            <w:t>6</w:t>
          </w:r>
          <w:r>
            <w:fldChar w:fldCharType="end"/>
          </w:r>
          <w:r>
            <w:rPr>
              <w:rFonts w:hint="eastAsia" w:ascii="宋体" w:hAnsi="宋体" w:eastAsia="宋体" w:cs="宋体"/>
              <w:szCs w:val="24"/>
            </w:rPr>
            <w:fldChar w:fldCharType="end"/>
          </w:r>
        </w:p>
        <w:p w14:paraId="6DAE68F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858AE51">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75A7E3D">
      <w:pPr>
        <w:pStyle w:val="28"/>
        <w:bidi w:val="0"/>
        <w:rPr>
          <w:rFonts w:hint="default"/>
          <w:lang w:val="en-US" w:eastAsia="zh-CN"/>
        </w:rPr>
      </w:pPr>
      <w:r>
        <w:rPr>
          <w:rFonts w:hint="default"/>
          <w:lang w:val="en-US" w:eastAsia="zh-CN"/>
        </w:rPr>
        <w:t>项目概述</w:t>
      </w:r>
    </w:p>
    <w:p w14:paraId="29BE32A5">
      <w:pPr>
        <w:pStyle w:val="29"/>
        <w:bidi w:val="0"/>
        <w:rPr>
          <w:rFonts w:hint="default"/>
          <w:lang w:val="en-US" w:eastAsia="zh-CN"/>
        </w:rPr>
      </w:pPr>
      <w:r>
        <w:rPr>
          <w:rFonts w:hint="default"/>
          <w:lang w:val="en-US" w:eastAsia="zh-CN"/>
        </w:rPr>
        <w:t>本报告旨在对“丰盈云人力资源服务业财一体化管理系统技术服务项目”（服务期限：2024年12月28日至2025年11月30日）的整体执行情况、服务成果与价值进行最终总结与回顾。</w:t>
      </w:r>
    </w:p>
    <w:p w14:paraId="119C8D4F">
      <w:pPr>
        <w:pStyle w:val="29"/>
        <w:bidi w:val="0"/>
        <w:rPr>
          <w:rFonts w:hint="default"/>
          <w:lang w:val="en-US" w:eastAsia="zh-CN"/>
        </w:rPr>
      </w:pPr>
      <w:r>
        <w:rPr>
          <w:rFonts w:hint="default"/>
          <w:lang w:val="en-US" w:eastAsia="zh-CN"/>
        </w:rPr>
        <w:t>在近一年的服务周期内，北京新都远景网络技术有限公司（以下简称“我方”）严格履行与安徽益联科技有限公司（以下简称“贵方”）签订的《技术服务合同》，并依据双方确认的《项目交付方案》，组建专业、稳定的驻场服务团队，建立起标准化、流程化的服务交付与质量管理体系。通过全方位的主动运维与快速响应的技术支持，有效保障了丰盈云业财一体化管理系统及相关基础设施的持续稳定、高效与安全运行，圆满完成了各项合同约定的服务目标，实现了对贵方核心业务运营的坚实支撑。</w:t>
      </w:r>
    </w:p>
    <w:p w14:paraId="5950B4A0">
      <w:pPr>
        <w:pStyle w:val="28"/>
        <w:bidi w:val="0"/>
        <w:rPr>
          <w:rFonts w:hint="default"/>
          <w:lang w:val="en-US" w:eastAsia="zh-CN"/>
        </w:rPr>
      </w:pPr>
      <w:r>
        <w:rPr>
          <w:rFonts w:hint="default"/>
          <w:lang w:val="en-US" w:eastAsia="zh-CN"/>
        </w:rPr>
        <w:t>服务目标达成情况总览</w:t>
      </w:r>
    </w:p>
    <w:p w14:paraId="6D56B125">
      <w:pPr>
        <w:pStyle w:val="29"/>
        <w:bidi w:val="0"/>
        <w:rPr>
          <w:rFonts w:hint="default"/>
          <w:lang w:val="en-US" w:eastAsia="zh-CN"/>
        </w:rPr>
      </w:pPr>
      <w:r>
        <w:rPr>
          <w:rFonts w:hint="default"/>
          <w:lang w:val="en-US" w:eastAsia="zh-CN"/>
        </w:rPr>
        <w:t>对标项目初期确立的核心服务承诺，本服务年度关键目标达成情况如下表所示：</w:t>
      </w:r>
    </w:p>
    <w:tbl>
      <w:tblPr>
        <w:tblW w:w="90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559"/>
        <w:gridCol w:w="5465"/>
      </w:tblGrid>
      <w:tr w14:paraId="0E294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3559" w:type="dxa"/>
            <w:shd w:val="clear" w:color="auto" w:fill="auto"/>
            <w:tcMar>
              <w:top w:w="120" w:type="dxa"/>
              <w:left w:w="0" w:type="dxa"/>
              <w:bottom w:w="120" w:type="dxa"/>
              <w:right w:w="192" w:type="dxa"/>
            </w:tcMar>
            <w:vAlign w:val="center"/>
          </w:tcPr>
          <w:p w14:paraId="1DB5E93C">
            <w:pPr>
              <w:keepNext w:val="0"/>
              <w:keepLines w:val="0"/>
              <w:widowControl/>
              <w:suppressLineNumbers w:val="0"/>
              <w:spacing w:line="300" w:lineRule="atLeast"/>
              <w:ind w:left="0" w:leftChars="0" w:right="0" w:rightChars="0" w:firstLine="0" w:firstLineChars="0"/>
              <w:jc w:val="center"/>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服务目标</w:t>
            </w:r>
          </w:p>
        </w:tc>
        <w:tc>
          <w:tcPr>
            <w:tcW w:w="5465" w:type="dxa"/>
            <w:shd w:val="clear" w:color="auto" w:fill="auto"/>
            <w:tcMar>
              <w:top w:w="120" w:type="dxa"/>
              <w:left w:w="192" w:type="dxa"/>
              <w:bottom w:w="120" w:type="dxa"/>
              <w:right w:w="192" w:type="dxa"/>
            </w:tcMar>
            <w:vAlign w:val="center"/>
          </w:tcPr>
          <w:p w14:paraId="4A9C626B">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本年度达成情况概述</w:t>
            </w:r>
          </w:p>
        </w:tc>
      </w:tr>
      <w:tr w14:paraId="3984C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59" w:type="dxa"/>
            <w:shd w:val="clear" w:color="auto" w:fill="auto"/>
            <w:tcMar>
              <w:top w:w="120" w:type="dxa"/>
              <w:left w:w="0" w:type="dxa"/>
              <w:bottom w:w="120" w:type="dxa"/>
              <w:right w:w="192" w:type="dxa"/>
            </w:tcMar>
            <w:vAlign w:val="center"/>
          </w:tcPr>
          <w:p w14:paraId="56FCA3B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“三包”承诺（包运行、包维护、包管理）</w:t>
            </w:r>
          </w:p>
        </w:tc>
        <w:tc>
          <w:tcPr>
            <w:tcW w:w="5465" w:type="dxa"/>
            <w:shd w:val="clear" w:color="auto" w:fill="auto"/>
            <w:tcMar>
              <w:top w:w="120" w:type="dxa"/>
              <w:left w:w="192" w:type="dxa"/>
              <w:bottom w:w="120" w:type="dxa"/>
              <w:right w:w="0" w:type="dxa"/>
            </w:tcMar>
            <w:vAlign w:val="center"/>
          </w:tcPr>
          <w:p w14:paraId="35E804F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系统全年运行平稳，未发生因我方运维责任导致的计划外系统性服务中断。所有既定维护任务与应急故障处理均圆满完成，服务管理体系运作有效、可靠。</w:t>
            </w:r>
          </w:p>
        </w:tc>
      </w:tr>
      <w:tr w14:paraId="4CA0D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59" w:type="dxa"/>
            <w:shd w:val="clear" w:color="auto" w:fill="auto"/>
            <w:tcMar>
              <w:top w:w="120" w:type="dxa"/>
              <w:left w:w="0" w:type="dxa"/>
              <w:bottom w:w="120" w:type="dxa"/>
              <w:right w:w="192" w:type="dxa"/>
            </w:tcMar>
            <w:vAlign w:val="center"/>
          </w:tcPr>
          <w:p w14:paraId="39A691D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高可用性保障（及时、准确、稳定）</w:t>
            </w:r>
          </w:p>
        </w:tc>
        <w:tc>
          <w:tcPr>
            <w:tcW w:w="5465" w:type="dxa"/>
            <w:shd w:val="clear" w:color="auto" w:fill="auto"/>
            <w:tcMar>
              <w:top w:w="120" w:type="dxa"/>
              <w:left w:w="192" w:type="dxa"/>
              <w:bottom w:w="120" w:type="dxa"/>
              <w:right w:w="0" w:type="dxa"/>
            </w:tcMar>
            <w:vAlign w:val="center"/>
          </w:tcPr>
          <w:p w14:paraId="26EA625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所有服务请求与故障申告均得到及时响应与有效处理。通过7x24小时监控与主动巡检，系统核心业务可用性得到充分保障，运行稳定性符合预期。</w:t>
            </w:r>
          </w:p>
        </w:tc>
      </w:tr>
      <w:tr w14:paraId="785C8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3559" w:type="dxa"/>
            <w:shd w:val="clear" w:color="auto" w:fill="auto"/>
            <w:tcMar>
              <w:top w:w="120" w:type="dxa"/>
              <w:left w:w="0" w:type="dxa"/>
              <w:bottom w:w="120" w:type="dxa"/>
              <w:right w:w="192" w:type="dxa"/>
            </w:tcMar>
            <w:vAlign w:val="center"/>
          </w:tcPr>
          <w:p w14:paraId="5A92C78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硬件完好性（保完好、不中断）</w:t>
            </w:r>
          </w:p>
        </w:tc>
        <w:tc>
          <w:tcPr>
            <w:tcW w:w="5465" w:type="dxa"/>
            <w:shd w:val="clear" w:color="auto" w:fill="auto"/>
            <w:tcMar>
              <w:top w:w="120" w:type="dxa"/>
              <w:left w:w="192" w:type="dxa"/>
              <w:bottom w:w="120" w:type="dxa"/>
              <w:right w:w="0" w:type="dxa"/>
            </w:tcMar>
            <w:vAlign w:val="center"/>
          </w:tcPr>
          <w:p w14:paraId="594A1BA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服务范围内在保设备均维持良好工作状态。对发生的硬件故障，均通过现场备件库或应急渠道在规定时限内完成更换，未造成业务长期中断。</w:t>
            </w:r>
          </w:p>
        </w:tc>
      </w:tr>
      <w:tr w14:paraId="514AC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59" w:type="dxa"/>
            <w:shd w:val="clear" w:color="auto" w:fill="auto"/>
            <w:tcMar>
              <w:top w:w="120" w:type="dxa"/>
              <w:left w:w="0" w:type="dxa"/>
              <w:bottom w:w="120" w:type="dxa"/>
              <w:right w:w="192" w:type="dxa"/>
            </w:tcMar>
            <w:vAlign w:val="center"/>
          </w:tcPr>
          <w:p w14:paraId="4B8B2EE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信息安全（保密、不泄密）</w:t>
            </w:r>
          </w:p>
        </w:tc>
        <w:tc>
          <w:tcPr>
            <w:tcW w:w="5465" w:type="dxa"/>
            <w:shd w:val="clear" w:color="auto" w:fill="auto"/>
            <w:tcMar>
              <w:top w:w="120" w:type="dxa"/>
              <w:left w:w="192" w:type="dxa"/>
              <w:bottom w:w="120" w:type="dxa"/>
              <w:right w:w="0" w:type="dxa"/>
            </w:tcMar>
            <w:vAlign w:val="center"/>
          </w:tcPr>
          <w:p w14:paraId="3460730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全体服务人员严格遵守保密协议，运维操作规范、全程留痕。服务期间未发生任何信息泄露或安全违规事件。</w:t>
            </w:r>
          </w:p>
        </w:tc>
      </w:tr>
    </w:tbl>
    <w:p w14:paraId="55AD1D10">
      <w:pPr>
        <w:pStyle w:val="28"/>
        <w:bidi w:val="0"/>
        <w:rPr>
          <w:rFonts w:hint="default"/>
          <w:lang w:val="en-US" w:eastAsia="zh-CN"/>
        </w:rPr>
      </w:pPr>
      <w:r>
        <w:rPr>
          <w:rFonts w:hint="default"/>
          <w:lang w:val="en-US" w:eastAsia="zh-CN"/>
        </w:rPr>
        <w:t>年度核心服务交付总结</w:t>
      </w:r>
    </w:p>
    <w:p w14:paraId="710CE7C6">
      <w:pPr>
        <w:pStyle w:val="30"/>
        <w:bidi w:val="0"/>
        <w:rPr>
          <w:rFonts w:hint="default"/>
          <w:lang w:val="en-US" w:eastAsia="zh-CN"/>
        </w:rPr>
      </w:pPr>
      <w:r>
        <w:rPr>
          <w:rFonts w:hint="default"/>
          <w:lang w:val="en-US" w:eastAsia="zh-CN"/>
        </w:rPr>
        <w:t>日常运维与主动服务</w:t>
      </w:r>
    </w:p>
    <w:p w14:paraId="5FB9B256">
      <w:pPr>
        <w:pStyle w:val="29"/>
        <w:bidi w:val="0"/>
        <w:rPr>
          <w:rFonts w:hint="default"/>
          <w:lang w:val="en-US" w:eastAsia="zh-CN"/>
        </w:rPr>
      </w:pPr>
      <w:r>
        <w:rPr>
          <w:rFonts w:hint="default"/>
          <w:lang w:val="en-US" w:eastAsia="zh-CN"/>
        </w:rPr>
        <w:t>服务台与事件管理：依托运维管理平台，提供了统一、高效的服务接入与事件处理通道。全年累计处理并闭环各类服务请求与故障数百起，所有事件均严格遵循分级响应机制（SLA）在规定时限内解决，一、二级重大故障平均恢复时间优于约定要求。</w:t>
      </w:r>
    </w:p>
    <w:p w14:paraId="7A192E64">
      <w:pPr>
        <w:pStyle w:val="29"/>
        <w:bidi w:val="0"/>
        <w:rPr>
          <w:rFonts w:hint="default"/>
          <w:lang w:val="en-US" w:eastAsia="zh-CN"/>
        </w:rPr>
      </w:pPr>
      <w:r>
        <w:rPr>
          <w:rFonts w:hint="default"/>
          <w:lang w:val="en-US" w:eastAsia="zh-CN"/>
        </w:rPr>
        <w:t>变更与发布支持：顺利支持并完成了所有由贵方授权的网络调整、系统配置变更等流程化操作，确保变更过程风险受控、结果可追溯。</w:t>
      </w:r>
    </w:p>
    <w:p w14:paraId="362C0600">
      <w:pPr>
        <w:pStyle w:val="30"/>
        <w:bidi w:val="0"/>
        <w:rPr>
          <w:rFonts w:hint="default"/>
          <w:lang w:val="en-US" w:eastAsia="zh-CN"/>
        </w:rPr>
      </w:pPr>
      <w:r>
        <w:rPr>
          <w:rFonts w:hint="default"/>
          <w:lang w:val="en-US" w:eastAsia="zh-CN"/>
        </w:rPr>
        <w:t>系统健康与风险防控</w:t>
      </w:r>
    </w:p>
    <w:p w14:paraId="19828764">
      <w:pPr>
        <w:pStyle w:val="29"/>
        <w:bidi w:val="0"/>
        <w:rPr>
          <w:rFonts w:hint="default"/>
          <w:lang w:val="en-US" w:eastAsia="zh-CN"/>
        </w:rPr>
      </w:pPr>
      <w:r>
        <w:rPr>
          <w:rFonts w:hint="default"/>
          <w:lang w:val="en-US" w:eastAsia="zh-CN"/>
        </w:rPr>
        <w:t>预防性维护体系：高标准执行了周期性、多层级的巡检计划，全年累计完成周巡检50次、月巡检11次、季度深度巡检3次，并针对多次重大业务活动进行了专项保障与值守。通过主动的监控分析与定期的设备除尘等维护，有效预防了潜在风险。</w:t>
      </w:r>
    </w:p>
    <w:p w14:paraId="77B147E3">
      <w:pPr>
        <w:pStyle w:val="29"/>
        <w:bidi w:val="0"/>
        <w:rPr>
          <w:rFonts w:hint="default"/>
          <w:lang w:val="en-US" w:eastAsia="zh-CN"/>
        </w:rPr>
      </w:pPr>
      <w:r>
        <w:rPr>
          <w:rFonts w:hint="default"/>
          <w:lang w:val="en-US" w:eastAsia="zh-CN"/>
        </w:rPr>
        <w:t>风险识别与处置：在例行巡检中主动发现并报告了如负载均衡设备单电源运行等潜在隐患，及时提供处理建议，体现了“预防为主”的服务原则。</w:t>
      </w:r>
    </w:p>
    <w:p w14:paraId="1B368F26">
      <w:pPr>
        <w:pStyle w:val="30"/>
        <w:bidi w:val="0"/>
        <w:rPr>
          <w:rFonts w:hint="default"/>
          <w:lang w:val="en-US" w:eastAsia="zh-CN"/>
        </w:rPr>
      </w:pPr>
      <w:r>
        <w:rPr>
          <w:rFonts w:hint="default"/>
          <w:lang w:val="en-US" w:eastAsia="zh-CN"/>
        </w:rPr>
        <w:t>管理赋能与资产保障</w:t>
      </w:r>
    </w:p>
    <w:p w14:paraId="2314B45D">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资产管理：完成了服务范围内IT资产的初始化普查与动态维护，资产信息准确、账实相符，为精细化管理与决策提供了可靠数据基础。</w:t>
      </w:r>
    </w:p>
    <w:p w14:paraId="437CD5A6">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数据安全：严格执行数据备份策略，定期验证备份有效性，确保了业务数据的可靠性与可恢复性。</w:t>
      </w:r>
    </w:p>
    <w:p w14:paraId="4EC59A29">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知识赋能：持续建设和运营项目知识库，系统化地沉淀了典型故障解决方案、操作手册等关键知识，促进了团队经验共享与服务能力的持续提升。</w:t>
      </w:r>
    </w:p>
    <w:p w14:paraId="5A695169">
      <w:pPr>
        <w:pStyle w:val="28"/>
        <w:bidi w:val="0"/>
        <w:rPr>
          <w:rFonts w:hint="default"/>
          <w:lang w:val="en-US" w:eastAsia="zh-CN"/>
        </w:rPr>
      </w:pPr>
      <w:r>
        <w:rPr>
          <w:rFonts w:hint="default"/>
          <w:lang w:val="en-US" w:eastAsia="zh-CN"/>
        </w:rPr>
        <w:t>服务管理体系运行成效</w:t>
      </w:r>
    </w:p>
    <w:p w14:paraId="4BB32443">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本项目成功实践了《交付方案》中设计的标准化服务管理体系：</w:t>
      </w:r>
    </w:p>
    <w:p w14:paraId="7F223C39">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组织与人员：由1名现场项目经理和8名运维工程师组成的驻场团队结构稳定、职责清晰、协作高效。A/B岗与应急轮值机制保障了服务的连续性。</w:t>
      </w:r>
    </w:p>
    <w:p w14:paraId="58AB3D91">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流程与平台：通过线上化运维管理平台，实现了事件、问题、变更等核心服务流程的标准化运作与全程可视化，确保了服务过程可追溯、可度量。</w:t>
      </w:r>
    </w:p>
    <w:p w14:paraId="5436AE26">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质量与监督：服务质量持续接受公司质量效能部的独立监督。全年核心服务级别协议（SLA）达成率为100%，年度客户满意度调研结果达到优秀水平。</w:t>
      </w:r>
    </w:p>
    <w:p w14:paraId="1DBD9E43">
      <w:pPr>
        <w:pStyle w:val="28"/>
        <w:bidi w:val="0"/>
        <w:rPr>
          <w:rFonts w:hint="default"/>
          <w:lang w:val="en-US" w:eastAsia="zh-CN"/>
        </w:rPr>
      </w:pPr>
      <w:r>
        <w:rPr>
          <w:rFonts w:hint="default"/>
          <w:lang w:val="en-US" w:eastAsia="zh-CN"/>
        </w:rPr>
        <w:t>持续改进与服务增值</w:t>
      </w:r>
    </w:p>
    <w:p w14:paraId="14A5914A">
      <w:pPr>
        <w:pStyle w:val="29"/>
        <w:bidi w:val="0"/>
        <w:rPr>
          <w:rFonts w:hint="default"/>
          <w:lang w:val="en-US" w:eastAsia="zh-CN"/>
        </w:rPr>
      </w:pPr>
      <w:r>
        <w:rPr>
          <w:rFonts w:hint="default"/>
          <w:lang w:val="en-US" w:eastAsia="zh-CN"/>
        </w:rPr>
        <w:t>本年度，在保障系统稳定的基础上，我们致力于推动服务的持续改进与价值延伸：</w:t>
      </w:r>
    </w:p>
    <w:p w14:paraId="679FDB30">
      <w:pPr>
        <w:pStyle w:val="29"/>
        <w:numPr>
          <w:ilvl w:val="0"/>
          <w:numId w:val="2"/>
        </w:numPr>
        <w:bidi w:val="0"/>
        <w:ind w:left="425" w:leftChars="0" w:hanging="425" w:firstLineChars="0"/>
        <w:rPr>
          <w:rFonts w:hint="default"/>
          <w:lang w:val="en-US" w:eastAsia="zh-CN"/>
        </w:rPr>
      </w:pPr>
      <w:r>
        <w:rPr>
          <w:rFonts w:hint="default"/>
          <w:lang w:val="en-US" w:eastAsia="zh-CN"/>
        </w:rPr>
        <w:t>完成既定改进计划：优化了监控告警策略，开展了知识共享宣导，丰富了服务报告内容，主动服务能力得到增强。</w:t>
      </w:r>
    </w:p>
    <w:p w14:paraId="67790712">
      <w:pPr>
        <w:pStyle w:val="29"/>
        <w:numPr>
          <w:ilvl w:val="0"/>
          <w:numId w:val="2"/>
        </w:numPr>
        <w:bidi w:val="0"/>
        <w:ind w:left="425" w:leftChars="0" w:hanging="425" w:firstLineChars="0"/>
        <w:rPr>
          <w:rFonts w:hint="default"/>
          <w:lang w:val="en-US" w:eastAsia="zh-CN"/>
        </w:rPr>
      </w:pPr>
      <w:r>
        <w:rPr>
          <w:rFonts w:hint="default"/>
          <w:lang w:val="en-US" w:eastAsia="zh-CN"/>
        </w:rPr>
        <w:t>应急能力锤炼：组织了应急预案演练，有效提升了团队对突发事件的协同处置能力。</w:t>
      </w:r>
    </w:p>
    <w:p w14:paraId="0B325718">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前瞻性建议：结合年度性能数据分析，向贵方提交了系统性能与架构的优化建议，为未来系统演进提供了有价值的参考。</w:t>
      </w:r>
    </w:p>
    <w:p w14:paraId="386A47AA">
      <w:pPr>
        <w:pStyle w:val="28"/>
        <w:bidi w:val="0"/>
        <w:rPr>
          <w:rFonts w:hint="default"/>
          <w:lang w:val="en-US" w:eastAsia="zh-CN"/>
        </w:rPr>
      </w:pPr>
      <w:r>
        <w:rPr>
          <w:rFonts w:hint="default"/>
          <w:lang w:val="en-US" w:eastAsia="zh-CN"/>
        </w:rPr>
        <w:t>总结</w:t>
      </w:r>
    </w:p>
    <w:p w14:paraId="55FE5CD4">
      <w:pPr>
        <w:pStyle w:val="29"/>
        <w:bidi w:val="0"/>
        <w:rPr>
          <w:rFonts w:hint="default"/>
          <w:lang w:val="en-US" w:eastAsia="zh-CN"/>
        </w:rPr>
      </w:pPr>
      <w:bookmarkStart w:id="1" w:name="_GoBack"/>
      <w:r>
        <w:rPr>
          <w:rFonts w:hint="eastAsia"/>
          <w:lang w:val="en-US" w:eastAsia="zh-CN"/>
        </w:rPr>
        <w:t>截止</w:t>
      </w:r>
      <w:r>
        <w:rPr>
          <w:rFonts w:hint="default"/>
          <w:lang w:val="en-US" w:eastAsia="zh-CN"/>
        </w:rPr>
        <w:t>2025年11月30日，丰盈云人力资源服务业财一体化管理系统技术服务项目已圆满收官。回首整个服务周期，在贵方领导与项目团队的高度信任、大力支持和紧密协作下，我们共同确保了系统的平稳高效运行，全面达成了各项服务目标。</w:t>
      </w:r>
    </w:p>
    <w:p w14:paraId="5920C29E">
      <w:pPr>
        <w:pStyle w:val="29"/>
        <w:bidi w:val="0"/>
        <w:rPr>
          <w:rFonts w:hint="default"/>
          <w:lang w:val="en-US" w:eastAsia="zh-CN"/>
        </w:rPr>
      </w:pPr>
      <w:r>
        <w:rPr>
          <w:rFonts w:hint="default"/>
          <w:lang w:val="en-US" w:eastAsia="zh-CN"/>
        </w:rPr>
        <w:t>此次成功的合作，不仅是对我方服务能力与专业精神的肯定，也为我们未来提供更优质的服务积累了宝贵经验。我们已为项目所有文档、资产及知识的顺利交接做好充分准备，确保收尾工作平稳有序。</w:t>
      </w:r>
    </w:p>
    <w:p w14:paraId="7E37FFBD">
      <w:pPr>
        <w:pStyle w:val="29"/>
        <w:bidi w:val="0"/>
        <w:rPr>
          <w:rFonts w:hint="default"/>
          <w:lang w:val="en-US" w:eastAsia="zh-CN"/>
        </w:rPr>
      </w:pPr>
      <w:r>
        <w:rPr>
          <w:rFonts w:hint="default"/>
          <w:lang w:val="en-US" w:eastAsia="zh-CN"/>
        </w:rPr>
        <w:t>谨此，对贵方在过去一年中给予的信任与合作表示最诚挚的感谢！我们期待未来能有更多机会，继续为安徽益联科技有限公司的业务发展提供坚实、卓越的技术服务支撑。</w:t>
      </w:r>
    </w:p>
    <w:bookmarkEnd w:id="1"/>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E75D8">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08DF113C"/>
    <w:multiLevelType w:val="singleLevel"/>
    <w:tmpl w:val="08DF113C"/>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7DC6755"/>
    <w:rsid w:val="0BB91287"/>
    <w:rsid w:val="0CC51889"/>
    <w:rsid w:val="0F9242C9"/>
    <w:rsid w:val="260E7FC9"/>
    <w:rsid w:val="269D4185"/>
    <w:rsid w:val="28FC52BC"/>
    <w:rsid w:val="2D7E3C87"/>
    <w:rsid w:val="2DF37C3D"/>
    <w:rsid w:val="363D46DF"/>
    <w:rsid w:val="3F5271FA"/>
    <w:rsid w:val="499E328F"/>
    <w:rsid w:val="4C275475"/>
    <w:rsid w:val="54FF790E"/>
    <w:rsid w:val="55D9793E"/>
    <w:rsid w:val="57517B92"/>
    <w:rsid w:val="586003AA"/>
    <w:rsid w:val="587F6039"/>
    <w:rsid w:val="5F4B3119"/>
    <w:rsid w:val="638349FA"/>
    <w:rsid w:val="648C1654"/>
    <w:rsid w:val="6E645FA5"/>
    <w:rsid w:val="705300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1687</Words>
  <Characters>1809</Characters>
  <Lines>0</Lines>
  <Paragraphs>0</Paragraphs>
  <TotalTime>6</TotalTime>
  <ScaleCrop>false</ScaleCrop>
  <LinksUpToDate>false</LinksUpToDate>
  <CharactersWithSpaces>1862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2026-01-14T23:10:37Z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