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E0CD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69" w:name="_GoBack"/>
      <w:bookmarkStart w:id="0" w:name="_Toc2089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3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15AFBC95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中国广电重庆BOSS系统存储维保项目-应急预案</w:t>
      </w:r>
    </w:p>
    <w:p w14:paraId="3F4FE5F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文件编号：ZGS-10-03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8004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296E5A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3BB083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 w14:paraId="61EC8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CF6CE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541D7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 w14:paraId="08C10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6380A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 w14:paraId="23DDE6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</w:tbl>
    <w:p w14:paraId="0C32CC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D0B04F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03F7FD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3A002A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A6B18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0842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460CD9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6F625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7C7A32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19" w:type="dxa"/>
          </w:tcPr>
          <w:p w14:paraId="6770A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1DE5B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768AD7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 w14:paraId="44D38F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4B21A14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E63E5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318470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B87838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DAA44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6616005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5ED3D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7A45B4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DEB05A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2CF4A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1DF3272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2C45D6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DD0FA4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EB91AB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7AD043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20B3E3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11BC9B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_Toc20899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F6B65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总则</w:t>
          </w:r>
          <w:r>
            <w:tab/>
          </w:r>
          <w:r>
            <w:fldChar w:fldCharType="begin"/>
          </w:r>
          <w:r>
            <w:instrText xml:space="preserve"> PAGEREF _Toc21081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00C9AD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编制目的</w:t>
          </w:r>
          <w:r>
            <w:tab/>
          </w:r>
          <w:r>
            <w:fldChar w:fldCharType="begin"/>
          </w:r>
          <w:r>
            <w:instrText xml:space="preserve"> PAGEREF _Toc10966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98C31F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_Toc6453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8802C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工作原则</w:t>
          </w:r>
          <w:r>
            <w:tab/>
          </w:r>
          <w:r>
            <w:fldChar w:fldCharType="begin"/>
          </w:r>
          <w:r>
            <w:instrText xml:space="preserve"> PAGEREF _Toc3974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CD76B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应急组织架构与职责</w:t>
          </w:r>
          <w:r>
            <w:tab/>
          </w:r>
          <w:r>
            <w:fldChar w:fldCharType="begin"/>
          </w:r>
          <w:r>
            <w:instrText xml:space="preserve"> PAGEREF _Toc11637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A0A730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应急</w:t>
          </w:r>
          <w:r>
            <w:rPr>
              <w:rFonts w:hint="eastAsia"/>
              <w:lang w:val="en-US" w:eastAsia="zh-CN"/>
            </w:rPr>
            <w:t>管理</w:t>
          </w:r>
          <w:r>
            <w:t>部</w:t>
          </w:r>
          <w:r>
            <w:tab/>
          </w:r>
          <w:r>
            <w:fldChar w:fldCharType="begin"/>
          </w:r>
          <w:r>
            <w:instrText xml:space="preserve"> PAGEREF _Toc16755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D98F9A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专项应急工作组</w:t>
          </w:r>
          <w:r>
            <w:tab/>
          </w:r>
          <w:r>
            <w:fldChar w:fldCharType="begin"/>
          </w:r>
          <w:r>
            <w:instrText xml:space="preserve"> PAGEREF _Toc10949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9F627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风险分级与响应机制</w:t>
          </w:r>
          <w:r>
            <w:tab/>
          </w:r>
          <w:r>
            <w:fldChar w:fldCharType="begin"/>
          </w:r>
          <w:r>
            <w:instrText xml:space="preserve"> PAGEREF _Toc29402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8E3C7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风险分级标准</w:t>
          </w:r>
          <w:r>
            <w:tab/>
          </w:r>
          <w:r>
            <w:fldChar w:fldCharType="begin"/>
          </w:r>
          <w:r>
            <w:instrText xml:space="preserve"> PAGEREF _Toc29353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06211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分级响应流程</w:t>
          </w:r>
          <w:r>
            <w:tab/>
          </w:r>
          <w:r>
            <w:fldChar w:fldCharType="begin"/>
          </w:r>
          <w:r>
            <w:instrText xml:space="preserve"> PAGEREF _Toc32386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91453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应急处置通用流程</w:t>
          </w:r>
          <w:r>
            <w:tab/>
          </w:r>
          <w:r>
            <w:fldChar w:fldCharType="begin"/>
          </w:r>
          <w:r>
            <w:instrText xml:space="preserve"> PAGEREF _Toc16086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37A77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预警与上报</w:t>
          </w:r>
          <w:r>
            <w:tab/>
          </w:r>
          <w:r>
            <w:fldChar w:fldCharType="begin"/>
          </w:r>
          <w:r>
            <w:instrText xml:space="preserve"> PAGEREF _Toc302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B00E1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应急启动</w:t>
          </w:r>
          <w:r>
            <w:tab/>
          </w:r>
          <w:r>
            <w:fldChar w:fldCharType="begin"/>
          </w:r>
          <w:r>
            <w:instrText xml:space="preserve"> PAGEREF _Toc25437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F21D2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现场处置</w:t>
          </w:r>
          <w:r>
            <w:tab/>
          </w:r>
          <w:r>
            <w:fldChar w:fldCharType="begin"/>
          </w:r>
          <w:r>
            <w:instrText xml:space="preserve"> PAGEREF _Toc26522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46B9AF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恢复与验收</w:t>
          </w:r>
          <w:r>
            <w:tab/>
          </w:r>
          <w:r>
            <w:fldChar w:fldCharType="begin"/>
          </w:r>
          <w:r>
            <w:instrText xml:space="preserve"> PAGEREF _Toc10033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4462EA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t>应急终止</w:t>
          </w:r>
          <w:r>
            <w:tab/>
          </w:r>
          <w:r>
            <w:fldChar w:fldCharType="begin"/>
          </w:r>
          <w:r>
            <w:instrText xml:space="preserve"> PAGEREF _Toc23923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8887A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专项应急处置方案</w:t>
          </w:r>
          <w:r>
            <w:tab/>
          </w:r>
          <w:r>
            <w:fldChar w:fldCharType="begin"/>
          </w:r>
          <w:r>
            <w:instrText xml:space="preserve"> PAGEREF _Toc3530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80EA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机房电力中断</w:t>
          </w:r>
          <w:r>
            <w:tab/>
          </w:r>
          <w:r>
            <w:fldChar w:fldCharType="begin"/>
          </w:r>
          <w:r>
            <w:instrText xml:space="preserve"> PAGEREF _Toc11490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34218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机房空调故障</w:t>
          </w:r>
          <w:r>
            <w:tab/>
          </w:r>
          <w:r>
            <w:fldChar w:fldCharType="begin"/>
          </w:r>
          <w:r>
            <w:instrText xml:space="preserve"> PAGEREF _Toc755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10DE4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_Toc23461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核心硬件故障</w:t>
          </w:r>
          <w:r>
            <w:tab/>
          </w:r>
          <w:r>
            <w:fldChar w:fldCharType="begin"/>
          </w:r>
          <w:r>
            <w:instrText xml:space="preserve"> PAGEREF _Toc23461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4D324E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安防审计异常</w:t>
          </w:r>
          <w:r>
            <w:tab/>
          </w:r>
          <w:r>
            <w:fldChar w:fldCharType="begin"/>
          </w:r>
          <w:r>
            <w:instrText xml:space="preserve"> PAGEREF _Toc8716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3BF7F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网络中断</w:t>
          </w:r>
          <w:r>
            <w:tab/>
          </w:r>
          <w:r>
            <w:fldChar w:fldCharType="begin"/>
          </w:r>
          <w:r>
            <w:instrText xml:space="preserve"> PAGEREF _Toc31186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07DB7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_Toc23614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安全事件</w:t>
          </w:r>
          <w:r>
            <w:tab/>
          </w:r>
          <w:r>
            <w:fldChar w:fldCharType="begin"/>
          </w:r>
          <w:r>
            <w:instrText xml:space="preserve"> PAGEREF _Toc23614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128B9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应急保障</w:t>
          </w:r>
          <w:r>
            <w:tab/>
          </w:r>
          <w:r>
            <w:fldChar w:fldCharType="begin"/>
          </w:r>
          <w:r>
            <w:instrText xml:space="preserve"> PAGEREF _Toc30638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082792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人员保障</w:t>
          </w:r>
          <w:r>
            <w:tab/>
          </w:r>
          <w:r>
            <w:fldChar w:fldCharType="begin"/>
          </w:r>
          <w:r>
            <w:instrText xml:space="preserve"> PAGEREF _Toc7544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E12AE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_Toc17214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物资保障</w:t>
          </w:r>
          <w:r>
            <w:tab/>
          </w:r>
          <w:r>
            <w:fldChar w:fldCharType="begin"/>
          </w:r>
          <w:r>
            <w:instrText xml:space="preserve"> PAGEREF _Toc17214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13F2B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技术保障</w:t>
          </w:r>
          <w:r>
            <w:tab/>
          </w:r>
          <w:r>
            <w:fldChar w:fldCharType="begin"/>
          </w:r>
          <w:r>
            <w:instrText xml:space="preserve"> PAGEREF _Toc20014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D7F19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t>通讯保障</w:t>
          </w:r>
          <w:r>
            <w:tab/>
          </w:r>
          <w:r>
            <w:fldChar w:fldCharType="begin"/>
          </w:r>
          <w:r>
            <w:instrText xml:space="preserve"> PAGEREF _Toc13191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E8A2A0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预案管理</w:t>
          </w:r>
          <w:r>
            <w:tab/>
          </w:r>
          <w:r>
            <w:fldChar w:fldCharType="begin"/>
          </w:r>
          <w:r>
            <w:instrText xml:space="preserve"> PAGEREF _Toc16431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06ED10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t>预案培训</w:t>
          </w:r>
          <w:r>
            <w:tab/>
          </w:r>
          <w:r>
            <w:fldChar w:fldCharType="begin"/>
          </w:r>
          <w:r>
            <w:instrText xml:space="preserve"> PAGEREF _Toc13968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9DB38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t>预案演练</w:t>
          </w:r>
          <w:r>
            <w:tab/>
          </w:r>
          <w:r>
            <w:fldChar w:fldCharType="begin"/>
          </w:r>
          <w:r>
            <w:instrText xml:space="preserve"> PAGEREF _Toc18191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4B890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_Toc8352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7.3. </w:t>
          </w:r>
          <w:r>
            <w:t>预案修订</w:t>
          </w:r>
          <w:r>
            <w:tab/>
          </w:r>
          <w:r>
            <w:fldChar w:fldCharType="begin"/>
          </w:r>
          <w:r>
            <w:instrText xml:space="preserve"> PAGEREF _Toc8352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C3110A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7.4. </w:t>
          </w:r>
          <w:r>
            <w:t>复盘总结</w:t>
          </w:r>
          <w:r>
            <w:tab/>
          </w:r>
          <w:r>
            <w:fldChar w:fldCharType="begin"/>
          </w:r>
          <w:r>
            <w:instrText xml:space="preserve"> PAGEREF _Toc243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A24B0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_Toc11861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6989D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68B658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60E479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bookmarkStart w:id="2" w:name="_Toc21081"/>
      <w:r>
        <w:t>总则</w:t>
      </w:r>
      <w:bookmarkEnd w:id="1"/>
      <w:bookmarkEnd w:id="2"/>
    </w:p>
    <w:p w14:paraId="0AE7959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3"/>
      <w:bookmarkStart w:id="4" w:name="_Toc10966"/>
      <w:r>
        <w:t>编制目的</w:t>
      </w:r>
      <w:bookmarkEnd w:id="3"/>
      <w:bookmarkEnd w:id="4"/>
    </w:p>
    <w:p w14:paraId="61E1824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建立健全中国广电重庆网络股份有限公司（以下简称“甲方”）存储维保项目突发事件应急处置机制，规范应急响应流程，快速、高效、有序地处置各类机房环境、硬件设备、安防系统等突发故障与灾难事件，最大限度降低事件对甲方业务运行及数据安全造成的损失，保障托管设备稳定、持续、安全运行，特制定本预案。</w:t>
      </w:r>
    </w:p>
    <w:p w14:paraId="094CB41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6453"/>
      <w:bookmarkStart w:id="6" w:name="heading_4"/>
      <w:r>
        <w:t>适用范围</w:t>
      </w:r>
      <w:bookmarkEnd w:id="5"/>
      <w:bookmarkEnd w:id="6"/>
    </w:p>
    <w:p w14:paraId="26798E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预案适用于本项目运维服务期间发生的各类机房环境异常、硬件设备故障、电力中断、安防审计异常等突发事件的预防、预警、处置及后续恢复工作，覆盖运维服务全流程及所有参与运维工作的人员、设备与业务场景。</w:t>
      </w:r>
    </w:p>
    <w:p w14:paraId="3535687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5"/>
      <w:bookmarkStart w:id="8" w:name="_Toc3974"/>
      <w:r>
        <w:t>工作原则</w:t>
      </w:r>
      <w:bookmarkEnd w:id="7"/>
      <w:bookmarkEnd w:id="8"/>
    </w:p>
    <w:p w14:paraId="23DF7F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预防为主，防治结合：常态化开展风险排查与隐患整改，加强机房环境巡检、硬件状态监控及应急演练，提前防范各类潜在风险，做到早发现、早预警、早处置。</w:t>
      </w:r>
    </w:p>
    <w:p w14:paraId="0FA2E8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分级响应，快速处置：根据突发事件的严重程度划分故障等级，对应启动不同层级的应急响应，明确各层级处置权限与流程，确保响应及时、处置高效。</w:t>
      </w:r>
    </w:p>
    <w:p w14:paraId="08EBEC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协同联动，权责清晰：明确应急组织架构中各部门、各岗位的职责分工，加强内部协同及与甲方、数据中心运维方、设备厂商等外部单位的联动配合，形成应急处置合力。</w:t>
      </w:r>
    </w:p>
    <w:p w14:paraId="07177F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闭环管理，持续优化：应急事件处置完成后，及时开展复盘总结，分析事件原因、评估处置效果，优化应急预案与运维策略，持续提升应急处置能力。</w:t>
      </w:r>
    </w:p>
    <w:p w14:paraId="20F9FF1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11637"/>
      <w:bookmarkStart w:id="10" w:name="heading_6"/>
      <w:r>
        <w:t>应急组织架构与职责</w:t>
      </w:r>
      <w:bookmarkEnd w:id="9"/>
      <w:bookmarkEnd w:id="10"/>
    </w:p>
    <w:p w14:paraId="6343FC5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16755"/>
      <w:bookmarkStart w:id="12" w:name="heading_7"/>
      <w:r>
        <w:t>应急</w:t>
      </w:r>
      <w:r>
        <w:rPr>
          <w:rFonts w:hint="eastAsia"/>
          <w:lang w:val="en-US" w:eastAsia="zh-CN"/>
        </w:rPr>
        <w:t>管理</w:t>
      </w:r>
      <w:r>
        <w:t>部</w:t>
      </w:r>
      <w:bookmarkEnd w:id="11"/>
      <w:bookmarkEnd w:id="12"/>
    </w:p>
    <w:p w14:paraId="6612D9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成立应急</w:t>
      </w:r>
      <w:r>
        <w:rPr>
          <w:rFonts w:hint="eastAsia"/>
          <w:lang w:val="en-US" w:eastAsia="zh-CN"/>
        </w:rPr>
        <w:t>管理</w:t>
      </w:r>
      <w:r>
        <w:t>部作为应急处置核心决策机构：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1"/>
        <w:gridCol w:w="1615"/>
        <w:gridCol w:w="5586"/>
      </w:tblGrid>
      <w:tr w14:paraId="2A31B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972C8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职务</w:t>
            </w:r>
          </w:p>
        </w:tc>
        <w:tc>
          <w:tcPr>
            <w:tcW w:w="161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8AD8B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人员</w:t>
            </w:r>
          </w:p>
        </w:tc>
        <w:tc>
          <w:tcPr>
            <w:tcW w:w="558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7FA89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 w14:paraId="15553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C5C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总指挥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00B1B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运维部部长</w:t>
            </w:r>
          </w:p>
        </w:tc>
        <w:tc>
          <w:tcPr>
            <w:tcW w:w="55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BD346A">
            <w:pPr>
              <w:pStyle w:val="4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负责应急预案的启动与终止审批，制定重大应急处置决策；统筹协调应急资源，协调外部支持力量；监督应急处置全过程，评估应急处置效果</w:t>
            </w:r>
          </w:p>
        </w:tc>
      </w:tr>
      <w:tr w14:paraId="1BD1A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A50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副总指挥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57E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eastAsia="宋体"/>
                <w:sz w:val="24"/>
                <w:lang w:val="en-US" w:eastAsia="zh-CN"/>
              </w:rPr>
            </w:pPr>
            <w:r>
              <w:rPr>
                <w:rFonts w:ascii="Arial" w:eastAsia="宋体"/>
                <w:sz w:val="24"/>
              </w:rPr>
              <w:t>运维项目部</w:t>
            </w:r>
            <w:r>
              <w:rPr>
                <w:rFonts w:hint="eastAsia" w:ascii="Arial" w:eastAsia="宋体"/>
                <w:sz w:val="24"/>
                <w:lang w:val="en-US" w:eastAsia="zh-CN"/>
              </w:rPr>
              <w:t>长</w:t>
            </w:r>
          </w:p>
        </w:tc>
        <w:tc>
          <w:tcPr>
            <w:tcW w:w="55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4AFDF5">
            <w:pPr>
              <w:pStyle w:val="4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协调甲方内部资源，确认恢复结果，参与重大决策</w:t>
            </w:r>
          </w:p>
        </w:tc>
      </w:tr>
      <w:tr w14:paraId="33F61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DF7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成员</w:t>
            </w:r>
          </w:p>
        </w:tc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C6CB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技术专家、质量管理人员</w:t>
            </w:r>
          </w:p>
        </w:tc>
        <w:tc>
          <w:tcPr>
            <w:tcW w:w="55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1E5D12">
            <w:pPr>
              <w:pStyle w:val="4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参与应急决策，提供技术支持，监督处置过程</w:t>
            </w:r>
          </w:p>
        </w:tc>
      </w:tr>
    </w:tbl>
    <w:p w14:paraId="003F459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10949"/>
      <w:bookmarkStart w:id="14" w:name="heading_8"/>
      <w:r>
        <w:t>专项应急工作组</w:t>
      </w:r>
      <w:bookmarkEnd w:id="13"/>
      <w:bookmarkEnd w:id="14"/>
    </w:p>
    <w:p w14:paraId="737AD1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应急管理部</w:t>
      </w:r>
      <w:r>
        <w:t>下设4个专项应急工作组：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8"/>
        <w:gridCol w:w="1435"/>
        <w:gridCol w:w="5789"/>
      </w:tblGrid>
      <w:tr w14:paraId="374EC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B6B0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工作组</w:t>
            </w:r>
          </w:p>
        </w:tc>
        <w:tc>
          <w:tcPr>
            <w:tcW w:w="14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6F5B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部门/人员</w:t>
            </w:r>
          </w:p>
        </w:tc>
        <w:tc>
          <w:tcPr>
            <w:tcW w:w="579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AC148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核心职责</w:t>
            </w:r>
          </w:p>
        </w:tc>
      </w:tr>
      <w:tr w14:paraId="268EF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5D0D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技术保障组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72DAD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运维工程师</w:t>
            </w:r>
          </w:p>
        </w:tc>
        <w:tc>
          <w:tcPr>
            <w:tcW w:w="57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7067E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负责故障诊断、技术方案制定与实施，开展硬件恢复、环境修复、安防审计恢复等工作</w:t>
            </w:r>
          </w:p>
        </w:tc>
      </w:tr>
      <w:tr w14:paraId="71EC2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EAA5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现场抢险组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C2522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数据中心运维人员</w:t>
            </w:r>
          </w:p>
        </w:tc>
        <w:tc>
          <w:tcPr>
            <w:tcW w:w="57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8330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负责现场初期险情控制（如断电隔离、环境应急处理等），保护关键设备，执行现场设备更换配合</w:t>
            </w:r>
          </w:p>
        </w:tc>
      </w:tr>
      <w:tr w14:paraId="5AFA9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420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信息联络组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03D5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服务台专员</w:t>
            </w:r>
          </w:p>
        </w:tc>
        <w:tc>
          <w:tcPr>
            <w:tcW w:w="57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94D7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负责应急信息的上传下达，记录应急处置过程，对接甲方及外部单位（厂商、数据中心），发布处置进展</w:t>
            </w:r>
          </w:p>
        </w:tc>
      </w:tr>
      <w:tr w14:paraId="1C468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7A56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后勤支持组</w:t>
            </w:r>
          </w:p>
        </w:tc>
        <w:tc>
          <w:tcPr>
            <w:tcW w:w="14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B1BD3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采购部、人力部</w:t>
            </w:r>
          </w:p>
        </w:tc>
        <w:tc>
          <w:tcPr>
            <w:tcW w:w="57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0C849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负责应急物资调配、厂商联系、交通保障、经费支持及后勤服务</w:t>
            </w:r>
          </w:p>
        </w:tc>
      </w:tr>
    </w:tbl>
    <w:p w14:paraId="59AA806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9"/>
      <w:bookmarkStart w:id="16" w:name="_Toc29402"/>
      <w:r>
        <w:t>风险分级与响应机制</w:t>
      </w:r>
      <w:bookmarkEnd w:id="15"/>
      <w:bookmarkEnd w:id="16"/>
    </w:p>
    <w:p w14:paraId="420D8FC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29353"/>
      <w:bookmarkStart w:id="18" w:name="heading_10"/>
      <w:r>
        <w:t>风险分级标准</w:t>
      </w:r>
      <w:bookmarkEnd w:id="17"/>
      <w:bookmarkEnd w:id="18"/>
    </w:p>
    <w:p w14:paraId="3A63E3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结合存储维保服务特点及对甲方业务的影响，将突发事件划分为四级：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5631"/>
        <w:gridCol w:w="1527"/>
      </w:tblGrid>
      <w:tr w14:paraId="565C2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5B8AA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故障级别</w:t>
            </w:r>
          </w:p>
        </w:tc>
        <w:tc>
          <w:tcPr>
            <w:tcW w:w="56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BEDB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故障特征</w:t>
            </w:r>
          </w:p>
        </w:tc>
        <w:tc>
          <w:tcPr>
            <w:tcW w:w="152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7079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对应SLA等级</w:t>
            </w:r>
          </w:p>
        </w:tc>
      </w:tr>
      <w:tr w14:paraId="3825E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E4E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Ⅰ级（特别重大故障）</w:t>
            </w:r>
          </w:p>
        </w:tc>
        <w:tc>
          <w:tcPr>
            <w:tcW w:w="5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59B03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机房环境严重异常（电力中断、空调失效），导致托管设备全部宕机；核心硬件（服务器/存储）全部故障；发生火灾等灾难性事件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FD3B3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P1</w:t>
            </w:r>
          </w:p>
        </w:tc>
      </w:tr>
      <w:tr w14:paraId="58849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1849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Ⅱ级（重大故障）</w:t>
            </w:r>
          </w:p>
        </w:tc>
        <w:tc>
          <w:tcPr>
            <w:tcW w:w="5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BC44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核心硬件（服务器/存储）单台宕机，影响业务运行；安防审计系统全面失效；电力单路中断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BAD5A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P1</w:t>
            </w:r>
          </w:p>
        </w:tc>
      </w:tr>
      <w:tr w14:paraId="40D57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162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Ⅲ级（较大故障）</w:t>
            </w:r>
          </w:p>
        </w:tc>
        <w:tc>
          <w:tcPr>
            <w:tcW w:w="5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6CBA5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硬件告警（磁盘预警、温度异常）；安防审计异常（Agent离线、日志中断）；空调温度瞬时偏高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9EC2C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P2</w:t>
            </w:r>
          </w:p>
        </w:tc>
      </w:tr>
      <w:tr w14:paraId="33CA2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762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Ⅳ级（一般故障）</w:t>
            </w:r>
          </w:p>
        </w:tc>
        <w:tc>
          <w:tcPr>
            <w:tcW w:w="56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E814A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设备上下架咨询、硬件状态查询、配置调整等，完全不影响甲方业务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A8C3A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P3</w:t>
            </w:r>
          </w:p>
        </w:tc>
      </w:tr>
    </w:tbl>
    <w:p w14:paraId="200DA32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11"/>
      <w:bookmarkStart w:id="20" w:name="_Toc32386"/>
      <w:r>
        <w:t>分级响应流程</w:t>
      </w:r>
      <w:bookmarkEnd w:id="19"/>
      <w:bookmarkEnd w:id="20"/>
    </w:p>
    <w:tbl>
      <w:tblPr>
        <w:tblStyle w:val="20"/>
        <w:tblW w:w="973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6"/>
        <w:gridCol w:w="1967"/>
        <w:gridCol w:w="1988"/>
        <w:gridCol w:w="1375"/>
        <w:gridCol w:w="3535"/>
      </w:tblGrid>
      <w:tr w14:paraId="3966F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6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3C8B3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故障级别</w:t>
            </w:r>
          </w:p>
        </w:tc>
        <w:tc>
          <w:tcPr>
            <w:tcW w:w="19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C1742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启动层级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869B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响应时限</w:t>
            </w:r>
          </w:p>
        </w:tc>
        <w:tc>
          <w:tcPr>
            <w:tcW w:w="137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A37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处置方案提交时限</w:t>
            </w:r>
          </w:p>
        </w:tc>
        <w:tc>
          <w:tcPr>
            <w:tcW w:w="353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85A5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关键要求</w:t>
            </w:r>
          </w:p>
        </w:tc>
      </w:tr>
      <w:tr w14:paraId="7EFA5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43C2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Ⅰ级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7465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应急管理部</w:t>
            </w:r>
            <w:r>
              <w:rPr>
                <w:rFonts w:ascii="Arial" w:eastAsia="宋体"/>
                <w:sz w:val="24"/>
              </w:rPr>
              <w:t>总指挥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EDD74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5分钟内响应，现场人员立即处置</w:t>
            </w: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43AEE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30分钟内</w:t>
            </w:r>
          </w:p>
        </w:tc>
        <w:tc>
          <w:tcPr>
            <w:tcW w:w="35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9085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全员投入，协调数据中心、设备厂商等全力处置</w:t>
            </w:r>
          </w:p>
        </w:tc>
      </w:tr>
      <w:tr w14:paraId="6D323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B9A0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Ⅱ级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8524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副总指挥（运维项目部长）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767D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10分钟内响应</w:t>
            </w: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F3EFE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40分钟内</w:t>
            </w:r>
          </w:p>
        </w:tc>
        <w:tc>
          <w:tcPr>
            <w:tcW w:w="35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1D10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技术保障组核心成员主导，必要时请求厂商技术支持</w:t>
            </w:r>
          </w:p>
        </w:tc>
      </w:tr>
      <w:tr w14:paraId="577C5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7E66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Ⅲ级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CD4D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技术保障组组长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1EF96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10分钟内响应</w:t>
            </w: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9A128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1小时内</w:t>
            </w:r>
          </w:p>
        </w:tc>
        <w:tc>
          <w:tcPr>
            <w:tcW w:w="35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66A39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现场技术人员开展处置，依托内部技术资源解决</w:t>
            </w:r>
          </w:p>
        </w:tc>
      </w:tr>
      <w:tr w14:paraId="5D2C1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B59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Ⅳ级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89F6F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现场运维人员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975EA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10分钟内响应</w:t>
            </w:r>
          </w:p>
        </w:tc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67105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30分钟内</w:t>
            </w:r>
          </w:p>
        </w:tc>
        <w:tc>
          <w:tcPr>
            <w:tcW w:w="35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7279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快速完成问题处理，必要时远程支持</w:t>
            </w:r>
          </w:p>
        </w:tc>
      </w:tr>
    </w:tbl>
    <w:p w14:paraId="218E77D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16086"/>
      <w:bookmarkStart w:id="22" w:name="heading_12"/>
      <w:r>
        <w:t>应急处置通用流程</w:t>
      </w:r>
      <w:bookmarkEnd w:id="21"/>
      <w:bookmarkEnd w:id="22"/>
    </w:p>
    <w:p w14:paraId="3305BB5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heading_13"/>
      <w:bookmarkStart w:id="24" w:name="_Toc302"/>
      <w:r>
        <w:t>预警与上报</w:t>
      </w:r>
      <w:bookmarkEnd w:id="23"/>
      <w:bookmarkEnd w:id="24"/>
    </w:p>
    <w:p w14:paraId="3D32E6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运维人员通过监控平台、日常巡检、甲方反馈等渠道发现异常后，立即进行初步核查，判定故障级别。</w:t>
      </w:r>
    </w:p>
    <w:p w14:paraId="57E202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Ⅰ、Ⅱ级故障需在5分钟内上报</w:t>
      </w:r>
      <w:r>
        <w:rPr>
          <w:rFonts w:hint="eastAsia"/>
          <w:lang w:eastAsia="zh-CN"/>
        </w:rPr>
        <w:t>应急管理部</w:t>
      </w:r>
      <w:r>
        <w:t>，同时通知相关专项工作组；Ⅲ、Ⅳ级故障在10分钟内上报技术保障组组长。</w:t>
      </w:r>
    </w:p>
    <w:p w14:paraId="094F1B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上报内容需包含：故障发生时间、地点、现象、影响范围、初步判定级别及已采取的临时措施。</w:t>
      </w:r>
    </w:p>
    <w:p w14:paraId="319D53C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14"/>
      <w:bookmarkStart w:id="26" w:name="_Toc25437"/>
      <w:r>
        <w:t>应急启动</w:t>
      </w:r>
      <w:bookmarkEnd w:id="25"/>
      <w:bookmarkEnd w:id="26"/>
    </w:p>
    <w:p w14:paraId="277DC7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应急管理部</w:t>
      </w:r>
      <w:r>
        <w:t>或对应负责人接到上报后，根据故障级别下达应急启动指令，明确各工作组任务分工，同步做好信息通报工作（如告知甲方、数据中心、相关厂商等）。</w:t>
      </w:r>
    </w:p>
    <w:p w14:paraId="63F1794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_Toc26522"/>
      <w:bookmarkStart w:id="28" w:name="heading_15"/>
      <w:r>
        <w:t>现场处置</w:t>
      </w:r>
      <w:bookmarkEnd w:id="27"/>
      <w:bookmarkEnd w:id="28"/>
    </w:p>
    <w:p w14:paraId="6487736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各专项工作组按照指令开展协同处置，优先采取临时保障措施减少损失，如启动备用电力、隔离故障设备、切换至备用链路等，再逐步实施根治性解决方案。处置过程中及时向指挥部汇报进展，遇突发情况随时请求支援。</w:t>
      </w:r>
    </w:p>
    <w:p w14:paraId="66FF35B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heading_16"/>
      <w:bookmarkStart w:id="30" w:name="_Toc10033"/>
      <w:r>
        <w:t>恢复与验收</w:t>
      </w:r>
      <w:bookmarkEnd w:id="29"/>
      <w:bookmarkEnd w:id="30"/>
    </w:p>
    <w:p w14:paraId="15D72E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故障处置完成后，技术保障组对机房环境、硬件状态、安防审计进行全面检测，确认达到恢复标准后，逐步恢复正常运行；信息联络组向甲方提交处置结果报告，获取甲方签字确认。</w:t>
      </w:r>
    </w:p>
    <w:p w14:paraId="2F6E0F4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heading_17"/>
      <w:bookmarkStart w:id="32" w:name="_Toc23923"/>
      <w:r>
        <w:t>应急终止</w:t>
      </w:r>
      <w:bookmarkEnd w:id="31"/>
      <w:bookmarkEnd w:id="32"/>
    </w:p>
    <w:p w14:paraId="5869A3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系统完全恢复正常运行，甲方验收通过后，</w:t>
      </w:r>
      <w:r>
        <w:rPr>
          <w:rFonts w:hint="eastAsia"/>
          <w:lang w:eastAsia="zh-CN"/>
        </w:rPr>
        <w:t>应急管理部</w:t>
      </w:r>
      <w:r>
        <w:t>下达应急终止指令，各工作组结束应急任务，转入日常运维状态。</w:t>
      </w:r>
    </w:p>
    <w:p w14:paraId="1B3981B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3" w:name="heading_18"/>
      <w:bookmarkStart w:id="34" w:name="_Toc3530"/>
      <w:r>
        <w:t>专项应急处置方案</w:t>
      </w:r>
      <w:bookmarkEnd w:id="33"/>
      <w:bookmarkEnd w:id="34"/>
    </w:p>
    <w:p w14:paraId="58380A0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5" w:name="heading_19"/>
      <w:bookmarkStart w:id="36" w:name="_Toc11490"/>
      <w:r>
        <w:t>机房电力中断</w:t>
      </w:r>
      <w:bookmarkEnd w:id="35"/>
      <w:bookmarkEnd w:id="36"/>
    </w:p>
    <w:p w14:paraId="032C95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症状：市电供应中断，UPS开始放电，柴油发电机未自动启动，托管设备面临断电风险。</w:t>
      </w:r>
    </w:p>
    <w:p w14:paraId="5912AD1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处置步骤：</w:t>
      </w:r>
    </w:p>
    <w:p w14:paraId="7D835560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立即确认UPS剩余供电时间，通报</w:t>
      </w:r>
      <w:r>
        <w:rPr>
          <w:rFonts w:hint="eastAsia"/>
          <w:lang w:eastAsia="zh-CN"/>
        </w:rPr>
        <w:t>应急管理部</w:t>
      </w:r>
      <w:r>
        <w:t>；</w:t>
      </w:r>
    </w:p>
    <w:p w14:paraId="7A8E4082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手动启动柴油发电机，若发电机故障，立即联系数据中心运维方抢修；</w:t>
      </w:r>
    </w:p>
    <w:p w14:paraId="7AAC9BD5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评估电力恢复时间，若UPS供电时间不足，按优先级逐步关闭非核心设备；</w:t>
      </w:r>
    </w:p>
    <w:p w14:paraId="186318A1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电力恢复后，逐步重启设备，验证硬件状态和网络连通性；</w:t>
      </w:r>
    </w:p>
    <w:p w14:paraId="0CD04DF8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分析故障原因，优化电力保障预案。</w:t>
      </w:r>
    </w:p>
    <w:p w14:paraId="4FA9509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_Toc755"/>
      <w:bookmarkStart w:id="38" w:name="heading_20"/>
      <w:r>
        <w:t>机房空调故障</w:t>
      </w:r>
      <w:bookmarkEnd w:id="37"/>
      <w:bookmarkEnd w:id="38"/>
    </w:p>
    <w:p w14:paraId="7679A12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症状：空调停止工作，机房温度/湿度异常升高，设备可能过热宕机。</w:t>
      </w:r>
    </w:p>
    <w:p w14:paraId="324237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处置步骤：</w:t>
      </w:r>
    </w:p>
    <w:p w14:paraId="37CEA9E8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立即通报</w:t>
      </w:r>
      <w:r>
        <w:rPr>
          <w:rFonts w:hint="eastAsia"/>
          <w:lang w:eastAsia="zh-CN"/>
        </w:rPr>
        <w:t>应急管理部</w:t>
      </w:r>
      <w:r>
        <w:t>，通知数据中心运维方；</w:t>
      </w:r>
    </w:p>
    <w:p w14:paraId="4D56AA0E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开启备用空调或应急降温设备（如移动空调、风扇）；</w:t>
      </w:r>
    </w:p>
    <w:p w14:paraId="35A472A3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打开机房通风口，临时降低温度；</w:t>
      </w:r>
    </w:p>
    <w:p w14:paraId="5D701BED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若温度持续升高，按优先级逐步关闭非核心设备；</w:t>
      </w:r>
    </w:p>
    <w:p w14:paraId="478DF1F8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空调修复后，恢复正常环境，验证设备运行状态；</w:t>
      </w:r>
    </w:p>
    <w:p w14:paraId="37E1A396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分析故障原因，优化空调监控阈值和预警机制。</w:t>
      </w:r>
    </w:p>
    <w:p w14:paraId="0D82BAA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9" w:name="_Toc23461"/>
      <w:bookmarkStart w:id="40" w:name="heading_21"/>
      <w:r>
        <w:t>核心硬件故障</w:t>
      </w:r>
      <w:bookmarkEnd w:id="39"/>
      <w:bookmarkEnd w:id="40"/>
    </w:p>
    <w:p w14:paraId="5A405D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症状：服务器宕机、硬盘故障、内存报错、电源失效。</w:t>
      </w:r>
    </w:p>
    <w:p w14:paraId="07A7DE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处置步骤：</w:t>
      </w:r>
    </w:p>
    <w:p w14:paraId="7E04B0E2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快速判定故障类型和影响范围；</w:t>
      </w:r>
    </w:p>
    <w:p w14:paraId="03F47C9B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若为单台设备故障，尝试将业务切换至备用设备（如有）；</w:t>
      </w:r>
    </w:p>
    <w:p w14:paraId="7B0CA9B0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收集故障信息（日志、告警、状态灯），初步诊断故障原因；</w:t>
      </w:r>
    </w:p>
    <w:p w14:paraId="39AC5D01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立即联系设备厂商，提交报修申请，全程跟踪报修进度；</w:t>
      </w:r>
    </w:p>
    <w:p w14:paraId="2E2ECCE8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向甲方提供临时环境建议（如资源调整、业务迁移等）；</w:t>
      </w:r>
    </w:p>
    <w:p w14:paraId="279D1FEC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硬件修复后，验证设备状态，恢复业务运行。</w:t>
      </w:r>
    </w:p>
    <w:p w14:paraId="3B0F5AC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1" w:name="_Toc8716"/>
      <w:bookmarkStart w:id="42" w:name="heading_22"/>
      <w:r>
        <w:t>安防审计异常</w:t>
      </w:r>
      <w:bookmarkEnd w:id="41"/>
      <w:bookmarkEnd w:id="42"/>
    </w:p>
    <w:p w14:paraId="02A0C70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症状：数据库审计Agent离线、日志审计系统停止收集、审计日志缺失。</w:t>
      </w:r>
    </w:p>
    <w:p w14:paraId="4C5916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处置步骤：</w:t>
      </w:r>
    </w:p>
    <w:p w14:paraId="5C9CDFD4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确认异常范围和影响程度；</w:t>
      </w:r>
    </w:p>
    <w:p w14:paraId="5CF44506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尝试重启审计Agent或审计系统服务；</w:t>
      </w:r>
    </w:p>
    <w:p w14:paraId="2EE4E4ED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检查网络连通性和端口状态，排除网络故障；</w:t>
      </w:r>
    </w:p>
    <w:p w14:paraId="603A6CEA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若无法恢复，联系审计系统厂商技术支持；</w:t>
      </w:r>
    </w:p>
    <w:p w14:paraId="46D49251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恢复后验证日志完整性，确认无安全事件遗漏；</w:t>
      </w:r>
    </w:p>
    <w:p w14:paraId="3407C77F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分析故障原因，优化审计规则和监控机制。</w:t>
      </w:r>
    </w:p>
    <w:p w14:paraId="708DCB5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3" w:name="heading_23"/>
      <w:bookmarkStart w:id="44" w:name="_Toc31186"/>
      <w:r>
        <w:t>网络中断</w:t>
      </w:r>
      <w:bookmarkEnd w:id="43"/>
      <w:bookmarkEnd w:id="44"/>
    </w:p>
    <w:p w14:paraId="11B0FB4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症状：托管设备无法访问、远程运维中断、网络延迟极高。</w:t>
      </w:r>
    </w:p>
    <w:p w14:paraId="307E22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处置步骤：</w:t>
      </w:r>
    </w:p>
    <w:p w14:paraId="538C9242">
      <w:pPr>
        <w:pStyle w:val="40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快速判定中断原因（数据中心网络故障、运营商线路中断、设备故障等）；</w:t>
      </w:r>
    </w:p>
    <w:p w14:paraId="4C38BC46">
      <w:pPr>
        <w:pStyle w:val="40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若为设备故障，通知数据中心运维方更换备用设备；</w:t>
      </w:r>
    </w:p>
    <w:p w14:paraId="103F8818">
      <w:pPr>
        <w:pStyle w:val="40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若为运营商线路中断，立即联系运营商报修，每30分钟跟进一次进度；</w:t>
      </w:r>
    </w:p>
    <w:p w14:paraId="115ED42F">
      <w:pPr>
        <w:pStyle w:val="40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若为数据中心内部网络问题，协调数据中心运维方排查；</w:t>
      </w:r>
    </w:p>
    <w:p w14:paraId="49FB34E2">
      <w:pPr>
        <w:pStyle w:val="40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网络恢复后，全面验证设备连通性和服务可用性。</w:t>
      </w:r>
    </w:p>
    <w:p w14:paraId="248A949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5" w:name="_Toc23614"/>
      <w:bookmarkStart w:id="46" w:name="heading_24"/>
      <w:r>
        <w:t>安全事件</w:t>
      </w:r>
      <w:bookmarkEnd w:id="45"/>
      <w:bookmarkEnd w:id="46"/>
    </w:p>
    <w:p w14:paraId="3EE6A4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症状：发现异常访问、审计日志异常、疑似入侵行为。</w:t>
      </w:r>
    </w:p>
    <w:p w14:paraId="42A31D0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处置步骤：</w:t>
      </w:r>
    </w:p>
    <w:p w14:paraId="22AB7A23">
      <w:pPr>
        <w:pStyle w:val="40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立即通报</w:t>
      </w:r>
      <w:r>
        <w:rPr>
          <w:rFonts w:hint="eastAsia"/>
          <w:lang w:eastAsia="zh-CN"/>
        </w:rPr>
        <w:t>应急管理部</w:t>
      </w:r>
      <w:r>
        <w:t>，启动安全事件响应；</w:t>
      </w:r>
    </w:p>
    <w:p w14:paraId="32CEAC1E">
      <w:pPr>
        <w:pStyle w:val="40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保留现场证据（日志、告警记录、网络流量）；</w:t>
      </w:r>
    </w:p>
    <w:p w14:paraId="616B0142">
      <w:pPr>
        <w:pStyle w:val="40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排查入侵途径，分析攻击源；</w:t>
      </w:r>
    </w:p>
    <w:p w14:paraId="197103D5">
      <w:pPr>
        <w:pStyle w:val="40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修复漏洞，加固安全策略（修改密码、调整防火墙规则）；</w:t>
      </w:r>
    </w:p>
    <w:p w14:paraId="62F5CDC8">
      <w:pPr>
        <w:pStyle w:val="40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必要时按法律法规要求上报相关部门；</w:t>
      </w:r>
    </w:p>
    <w:p w14:paraId="02F30BFD">
      <w:pPr>
        <w:pStyle w:val="40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形成安全事件报告，总结经验教训。</w:t>
      </w:r>
    </w:p>
    <w:p w14:paraId="1198CB5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7" w:name="heading_25"/>
      <w:bookmarkStart w:id="48" w:name="_Toc30638"/>
      <w:r>
        <w:t>应急保障</w:t>
      </w:r>
      <w:bookmarkEnd w:id="47"/>
      <w:bookmarkEnd w:id="48"/>
    </w:p>
    <w:p w14:paraId="1DF69DA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9" w:name="heading_26"/>
      <w:bookmarkStart w:id="50" w:name="_Toc7544"/>
      <w:r>
        <w:t>人员保障</w:t>
      </w:r>
      <w:bookmarkEnd w:id="49"/>
      <w:bookmarkEnd w:id="50"/>
    </w:p>
    <w:p w14:paraId="5D2200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组建应急后备人才库，涵盖机房环境、硬件、网络、安全等多个领域的专业技术人员，定期开展应急技能培训与考核；每年组织不少于1次的应急演练，提升团队协同处置能力。</w:t>
      </w:r>
    </w:p>
    <w:p w14:paraId="24B3244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1" w:name="_Toc17214"/>
      <w:bookmarkStart w:id="52" w:name="heading_27"/>
      <w:r>
        <w:t>物资保障</w:t>
      </w:r>
      <w:bookmarkEnd w:id="51"/>
      <w:bookmarkEnd w:id="52"/>
    </w:p>
    <w:p w14:paraId="01916C8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建立应急物资清单，储备备用网线、应急U盘（含应急预案、操作手册）、应急通讯录、演练记录表、厂商联系方式清单等物资，明确保管责任人，每月盘点一次，及时补充短缺物资；同时与设备厂商签订应急支持协议。</w:t>
      </w:r>
    </w:p>
    <w:p w14:paraId="03D9E12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3" w:name="_Toc20014"/>
      <w:bookmarkStart w:id="54" w:name="heading_28"/>
      <w:r>
        <w:t>技术保障</w:t>
      </w:r>
      <w:bookmarkEnd w:id="53"/>
      <w:bookmarkEnd w:id="54"/>
    </w:p>
    <w:p w14:paraId="7498AF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建立技术知识库，汇总常见故障处置方案、硬件故障处理手册、机房环境应急预案等资料，方便运维人员快速查阅；核心监控数据采用冗余备份机制。</w:t>
      </w:r>
    </w:p>
    <w:p w14:paraId="30408F7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5" w:name="_Toc13191"/>
      <w:bookmarkStart w:id="56" w:name="heading_29"/>
      <w:r>
        <w:t>通讯保障</w:t>
      </w:r>
      <w:bookmarkEnd w:id="55"/>
      <w:bookmarkEnd w:id="56"/>
    </w:p>
    <w:p w14:paraId="6143805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制定应急通讯联络表，明确</w:t>
      </w:r>
      <w:r>
        <w:rPr>
          <w:rFonts w:hint="eastAsia"/>
          <w:lang w:eastAsia="zh-CN"/>
        </w:rPr>
        <w:t>应急管理部</w:t>
      </w:r>
      <w:r>
        <w:t>、各工作组、甲方单位、数据中心运维方、设备厂商等单位的联系方式，确保24小时畅通。</w:t>
      </w:r>
    </w:p>
    <w:p w14:paraId="5E24AF7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7" w:name="heading_30"/>
      <w:bookmarkStart w:id="58" w:name="_Toc16431"/>
      <w:r>
        <w:t>预案管理</w:t>
      </w:r>
      <w:bookmarkEnd w:id="57"/>
      <w:bookmarkEnd w:id="58"/>
    </w:p>
    <w:p w14:paraId="14A3B3B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9" w:name="_Toc13968"/>
      <w:bookmarkStart w:id="60" w:name="heading_31"/>
      <w:r>
        <w:t>预案培训</w:t>
      </w:r>
      <w:bookmarkEnd w:id="59"/>
      <w:bookmarkEnd w:id="60"/>
    </w:p>
    <w:p w14:paraId="6B2CA9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将本预案纳入运维人员岗前培训与在岗培训内容，确保每位相关人员熟练掌握应急流程、岗位职责与处置方法，培训记录存档备查。</w:t>
      </w:r>
    </w:p>
    <w:p w14:paraId="70B063F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1" w:name="_Toc18191"/>
      <w:bookmarkStart w:id="62" w:name="heading_32"/>
      <w:r>
        <w:t>预案演练</w:t>
      </w:r>
      <w:bookmarkEnd w:id="61"/>
      <w:bookmarkEnd w:id="62"/>
    </w:p>
    <w:p w14:paraId="4F617A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每年组织1次综合性应急演练，针对高频故障场景（如电力中断、硬件故障、安防审计异常等）开展专项演练，演练后形成评估报告，总结经验不足，优化预案内容。</w:t>
      </w:r>
    </w:p>
    <w:p w14:paraId="3D8BE9C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3" w:name="heading_33"/>
      <w:bookmarkStart w:id="64" w:name="_Toc8352"/>
      <w:r>
        <w:t>预案修订</w:t>
      </w:r>
      <w:bookmarkEnd w:id="63"/>
      <w:bookmarkEnd w:id="64"/>
    </w:p>
    <w:p w14:paraId="432DFF3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本预案每年修订一次，若遇托管设备重大变更、法规标准更新等情况，及时进行动态修订，修订后经审批发布实施。</w:t>
      </w:r>
    </w:p>
    <w:p w14:paraId="0E20DDE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5" w:name="heading_34"/>
      <w:bookmarkStart w:id="66" w:name="_Toc243"/>
      <w:r>
        <w:t>复盘总结</w:t>
      </w:r>
      <w:bookmarkEnd w:id="65"/>
      <w:bookmarkEnd w:id="66"/>
    </w:p>
    <w:p w14:paraId="5C1815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每起应急事件处置完成后，5个工作日内开展复盘会议，分析事件起因、处置过程中的问题与不足，形成复盘报告，提出改进措施并跟踪落实。</w:t>
      </w:r>
    </w:p>
    <w:p w14:paraId="220A118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7" w:name="heading_35"/>
      <w:bookmarkStart w:id="68" w:name="_Toc11861"/>
      <w:r>
        <w:t>附件</w:t>
      </w:r>
      <w:bookmarkEnd w:id="67"/>
      <w:bookmarkEnd w:id="68"/>
    </w:p>
    <w:p w14:paraId="434D391F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应急组织架构人员联络表</w:t>
      </w:r>
    </w:p>
    <w:p w14:paraId="3DF8DDCC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应急物资清单及存放位置表</w:t>
      </w:r>
    </w:p>
    <w:p w14:paraId="6F4AC4E5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外部协作单位（数据中心/设备厂商）联系方式表</w:t>
      </w:r>
    </w:p>
    <w:p w14:paraId="45C5A186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应急处置过程记录表</w:t>
      </w:r>
    </w:p>
    <w:p w14:paraId="328DD60D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应急演练评估表</w:t>
      </w:r>
    </w:p>
    <w:p w14:paraId="52BE50F7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硬件故障处理记录单模板</w:t>
      </w:r>
    </w:p>
    <w:p w14:paraId="12D6B8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bookmarkEnd w:id="69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9EE69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2F4C9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1975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0BD56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重庆市鹧鸪哨信息技术有限责任公司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A0403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3EFF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046A8B0"/>
    <w:multiLevelType w:val="singleLevel"/>
    <w:tmpl w:val="9046A8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635E39E"/>
    <w:multiLevelType w:val="singleLevel"/>
    <w:tmpl w:val="9635E39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AA0DE6B"/>
    <w:multiLevelType w:val="singleLevel"/>
    <w:tmpl w:val="9AA0DE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6440532"/>
    <w:multiLevelType w:val="singleLevel"/>
    <w:tmpl w:val="A644053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51C6639"/>
    <w:multiLevelType w:val="singleLevel"/>
    <w:tmpl w:val="251C663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15AB1A2"/>
    <w:multiLevelType w:val="singleLevel"/>
    <w:tmpl w:val="315AB1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4150DB76"/>
    <w:multiLevelType w:val="singleLevel"/>
    <w:tmpl w:val="4150DB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720946"/>
    <w:rsid w:val="197113F3"/>
    <w:rsid w:val="267E3DBB"/>
    <w:rsid w:val="5EEB3400"/>
    <w:rsid w:val="6DC9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3874</Words>
  <Characters>4063</Characters>
  <Lines>0</Lines>
  <Paragraphs>0</Paragraphs>
  <TotalTime>0</TotalTime>
  <ScaleCrop>false</ScaleCrop>
  <LinksUpToDate>false</LinksUpToDate>
  <CharactersWithSpaces>4132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2026-07-01T04:11:33Z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