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06BA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405"/>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3">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0426B55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687"/>
      <w:r>
        <w:rPr>
          <w:rFonts w:hint="eastAsia"/>
          <w:lang w:val="en-US" w:eastAsia="zh-CN"/>
        </w:rPr>
        <w:t>服务可用性和连续性管理制度</w:t>
      </w:r>
      <w:bookmarkEnd w:id="1"/>
    </w:p>
    <w:p w14:paraId="5653F43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文件编号：ZGS-06-09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192D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DF7A57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B4199B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E35D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438757B">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F7546D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399A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8B7901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14:paraId="23E7AC5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07E3B6B">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69245A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B1D4C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4B05D2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765871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3C8FF3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D7DCF5A">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0FEC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11B5CF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2E76875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54FAEA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862D7E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5B179D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43F7FF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220E8D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69C622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FDE464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D3357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7EA1E8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C2380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546A42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B8EFC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C7E7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4EF1C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73B1D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D296CE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9601F3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64EBC4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7DD8A93">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F1BC21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_Toc25405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_Toc25405 \h </w:instrText>
          </w:r>
          <w:r>
            <w:fldChar w:fldCharType="separate"/>
          </w:r>
          <w:r>
            <w:t>1</w:t>
          </w:r>
          <w:r>
            <w:fldChar w:fldCharType="end"/>
          </w:r>
          <w:r>
            <w:rPr>
              <w:rFonts w:hint="eastAsia" w:ascii="宋体" w:hAnsi="宋体" w:eastAsia="宋体" w:cs="宋体"/>
              <w:szCs w:val="24"/>
            </w:rPr>
            <w:fldChar w:fldCharType="end"/>
          </w:r>
        </w:p>
        <w:p w14:paraId="13710A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_Toc4687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_Toc4687 \h </w:instrText>
          </w:r>
          <w:r>
            <w:fldChar w:fldCharType="separate"/>
          </w:r>
          <w:r>
            <w:t>1</w:t>
          </w:r>
          <w:r>
            <w:fldChar w:fldCharType="end"/>
          </w:r>
          <w:r>
            <w:rPr>
              <w:rFonts w:hint="eastAsia" w:ascii="宋体" w:hAnsi="宋体" w:eastAsia="宋体" w:cs="宋体"/>
              <w:szCs w:val="24"/>
            </w:rPr>
            <w:fldChar w:fldCharType="end"/>
          </w:r>
        </w:p>
        <w:p w14:paraId="126F3A3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_Toc11352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_Toc11352 \h </w:instrText>
          </w:r>
          <w:r>
            <w:fldChar w:fldCharType="separate"/>
          </w:r>
          <w:r>
            <w:t>5</w:t>
          </w:r>
          <w:r>
            <w:fldChar w:fldCharType="end"/>
          </w:r>
          <w:r>
            <w:rPr>
              <w:rFonts w:hint="eastAsia" w:ascii="宋体" w:hAnsi="宋体" w:eastAsia="宋体" w:cs="宋体"/>
              <w:szCs w:val="24"/>
            </w:rPr>
            <w:fldChar w:fldCharType="end"/>
          </w:r>
        </w:p>
        <w:p w14:paraId="20D801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_Toc12659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_Toc12659 \h </w:instrText>
          </w:r>
          <w:r>
            <w:fldChar w:fldCharType="separate"/>
          </w:r>
          <w:r>
            <w:t>5</w:t>
          </w:r>
          <w:r>
            <w:fldChar w:fldCharType="end"/>
          </w:r>
          <w:r>
            <w:rPr>
              <w:rFonts w:hint="eastAsia" w:ascii="宋体" w:hAnsi="宋体" w:eastAsia="宋体" w:cs="宋体"/>
              <w:szCs w:val="24"/>
            </w:rPr>
            <w:fldChar w:fldCharType="end"/>
          </w:r>
        </w:p>
        <w:p w14:paraId="17F2A0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_Toc3499 \h </w:instrText>
          </w:r>
          <w:r>
            <w:fldChar w:fldCharType="separate"/>
          </w:r>
          <w:r>
            <w:t>5</w:t>
          </w:r>
          <w:r>
            <w:fldChar w:fldCharType="end"/>
          </w:r>
          <w:r>
            <w:rPr>
              <w:rFonts w:hint="eastAsia" w:ascii="宋体" w:hAnsi="宋体" w:eastAsia="宋体" w:cs="宋体"/>
              <w:szCs w:val="24"/>
            </w:rPr>
            <w:fldChar w:fldCharType="end"/>
          </w:r>
        </w:p>
        <w:p w14:paraId="138278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_Toc18136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_Toc18136 \h </w:instrText>
          </w:r>
          <w:r>
            <w:fldChar w:fldCharType="separate"/>
          </w:r>
          <w:r>
            <w:t>5</w:t>
          </w:r>
          <w:r>
            <w:fldChar w:fldCharType="end"/>
          </w:r>
          <w:r>
            <w:rPr>
              <w:rFonts w:hint="eastAsia" w:ascii="宋体" w:hAnsi="宋体" w:eastAsia="宋体" w:cs="宋体"/>
              <w:szCs w:val="24"/>
            </w:rPr>
            <w:fldChar w:fldCharType="end"/>
          </w:r>
        </w:p>
        <w:p w14:paraId="7B7F53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_Toc16517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_Toc16517 \h </w:instrText>
          </w:r>
          <w:r>
            <w:fldChar w:fldCharType="separate"/>
          </w:r>
          <w:r>
            <w:t>5</w:t>
          </w:r>
          <w:r>
            <w:fldChar w:fldCharType="end"/>
          </w:r>
          <w:r>
            <w:rPr>
              <w:rFonts w:hint="eastAsia" w:ascii="宋体" w:hAnsi="宋体" w:eastAsia="宋体" w:cs="宋体"/>
              <w:szCs w:val="24"/>
            </w:rPr>
            <w:fldChar w:fldCharType="end"/>
          </w:r>
        </w:p>
        <w:p w14:paraId="061EFB9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_Toc30672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运维部部长</w:t>
          </w:r>
          <w:r>
            <w:tab/>
          </w:r>
          <w:r>
            <w:fldChar w:fldCharType="begin"/>
          </w:r>
          <w:r>
            <w:instrText xml:space="preserve"> PAGEREF _Toc30672 \h </w:instrText>
          </w:r>
          <w:r>
            <w:fldChar w:fldCharType="separate"/>
          </w:r>
          <w:r>
            <w:t>5</w:t>
          </w:r>
          <w:r>
            <w:fldChar w:fldCharType="end"/>
          </w:r>
          <w:r>
            <w:rPr>
              <w:rFonts w:hint="eastAsia" w:ascii="宋体" w:hAnsi="宋体" w:eastAsia="宋体" w:cs="宋体"/>
              <w:szCs w:val="24"/>
            </w:rPr>
            <w:fldChar w:fldCharType="end"/>
          </w:r>
        </w:p>
        <w:p w14:paraId="7A41F37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_Toc26918 </w:instrText>
          </w:r>
          <w:r>
            <w:rPr>
              <w:rFonts w:hint="eastAsia" w:ascii="宋体" w:hAnsi="宋体" w:eastAsia="宋体" w:cs="宋体"/>
              <w:szCs w:val="24"/>
            </w:rPr>
            <w:fldChar w:fldCharType="separate"/>
          </w:r>
          <w:r>
            <w:rPr>
              <w:rFonts w:hint="default"/>
              <w:lang w:val="en-US" w:eastAsia="zh-CN"/>
            </w:rPr>
            <w:t>1.4.2. 运维部</w:t>
          </w:r>
          <w:r>
            <w:tab/>
          </w:r>
          <w:r>
            <w:fldChar w:fldCharType="begin"/>
          </w:r>
          <w:r>
            <w:instrText xml:space="preserve"> PAGEREF _Toc26918 \h </w:instrText>
          </w:r>
          <w:r>
            <w:fldChar w:fldCharType="separate"/>
          </w:r>
          <w:r>
            <w:t>6</w:t>
          </w:r>
          <w:r>
            <w:fldChar w:fldCharType="end"/>
          </w:r>
          <w:r>
            <w:rPr>
              <w:rFonts w:hint="eastAsia" w:ascii="宋体" w:hAnsi="宋体" w:eastAsia="宋体" w:cs="宋体"/>
              <w:szCs w:val="24"/>
            </w:rPr>
            <w:fldChar w:fldCharType="end"/>
          </w:r>
        </w:p>
        <w:p w14:paraId="078001D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_Toc754 </w:instrText>
          </w:r>
          <w:r>
            <w:rPr>
              <w:rFonts w:hint="eastAsia" w:ascii="宋体" w:hAnsi="宋体" w:eastAsia="宋体" w:cs="宋体"/>
              <w:szCs w:val="24"/>
            </w:rPr>
            <w:fldChar w:fldCharType="separate"/>
          </w:r>
          <w:r>
            <w:rPr>
              <w:rFonts w:hint="default"/>
              <w:lang w:val="en-US" w:eastAsia="zh-CN"/>
            </w:rPr>
            <w:t>1.4.3. 研发部</w:t>
          </w:r>
          <w:r>
            <w:tab/>
          </w:r>
          <w:r>
            <w:fldChar w:fldCharType="begin"/>
          </w:r>
          <w:r>
            <w:instrText xml:space="preserve"> PAGEREF _Toc754 \h </w:instrText>
          </w:r>
          <w:r>
            <w:fldChar w:fldCharType="separate"/>
          </w:r>
          <w:r>
            <w:t>6</w:t>
          </w:r>
          <w:r>
            <w:fldChar w:fldCharType="end"/>
          </w:r>
          <w:r>
            <w:rPr>
              <w:rFonts w:hint="eastAsia" w:ascii="宋体" w:hAnsi="宋体" w:eastAsia="宋体" w:cs="宋体"/>
              <w:szCs w:val="24"/>
            </w:rPr>
            <w:fldChar w:fldCharType="end"/>
          </w:r>
        </w:p>
        <w:p w14:paraId="150F90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_Toc4565 </w:instrText>
          </w:r>
          <w:r>
            <w:rPr>
              <w:rFonts w:hint="eastAsia" w:ascii="宋体" w:hAnsi="宋体" w:eastAsia="宋体" w:cs="宋体"/>
              <w:szCs w:val="24"/>
            </w:rPr>
            <w:fldChar w:fldCharType="separate"/>
          </w:r>
          <w:r>
            <w:rPr>
              <w:rFonts w:hint="default"/>
              <w:lang w:val="en-US" w:eastAsia="zh-CN"/>
            </w:rPr>
            <w:t>1.4.4. 人力部</w:t>
          </w:r>
          <w:r>
            <w:tab/>
          </w:r>
          <w:r>
            <w:fldChar w:fldCharType="begin"/>
          </w:r>
          <w:r>
            <w:instrText xml:space="preserve"> PAGEREF _Toc4565 \h </w:instrText>
          </w:r>
          <w:r>
            <w:fldChar w:fldCharType="separate"/>
          </w:r>
          <w:r>
            <w:t>6</w:t>
          </w:r>
          <w:r>
            <w:fldChar w:fldCharType="end"/>
          </w:r>
          <w:r>
            <w:rPr>
              <w:rFonts w:hint="eastAsia" w:ascii="宋体" w:hAnsi="宋体" w:eastAsia="宋体" w:cs="宋体"/>
              <w:szCs w:val="24"/>
            </w:rPr>
            <w:fldChar w:fldCharType="end"/>
          </w:r>
        </w:p>
        <w:p w14:paraId="656522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_Toc8007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_Toc8007 \h </w:instrText>
          </w:r>
          <w:r>
            <w:fldChar w:fldCharType="separate"/>
          </w:r>
          <w:r>
            <w:t>6</w:t>
          </w:r>
          <w:r>
            <w:fldChar w:fldCharType="end"/>
          </w:r>
          <w:r>
            <w:rPr>
              <w:rFonts w:hint="eastAsia" w:ascii="宋体" w:hAnsi="宋体" w:eastAsia="宋体" w:cs="宋体"/>
              <w:szCs w:val="24"/>
            </w:rPr>
            <w:fldChar w:fldCharType="end"/>
          </w:r>
        </w:p>
        <w:p w14:paraId="0D3969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_Toc7119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_Toc7119 \h </w:instrText>
          </w:r>
          <w:r>
            <w:fldChar w:fldCharType="separate"/>
          </w:r>
          <w:r>
            <w:t>6</w:t>
          </w:r>
          <w:r>
            <w:fldChar w:fldCharType="end"/>
          </w:r>
          <w:r>
            <w:rPr>
              <w:rFonts w:hint="eastAsia" w:ascii="宋体" w:hAnsi="宋体" w:eastAsia="宋体" w:cs="宋体"/>
              <w:szCs w:val="24"/>
            </w:rPr>
            <w:fldChar w:fldCharType="end"/>
          </w:r>
        </w:p>
        <w:p w14:paraId="627607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_Toc32269 </w:instrText>
          </w:r>
          <w:r>
            <w:rPr>
              <w:rFonts w:hint="eastAsia" w:ascii="宋体" w:hAnsi="宋体" w:eastAsia="宋体" w:cs="宋体"/>
              <w:szCs w:val="24"/>
            </w:rPr>
            <w:fldChar w:fldCharType="separate"/>
          </w:r>
          <w:r>
            <w:rPr>
              <w:rFonts w:hint="default"/>
            </w:rPr>
            <w:t xml:space="preserve">3.1. </w:t>
          </w:r>
          <w:r>
            <w:rPr>
              <w:rFonts w:hint="eastAsia"/>
            </w:rPr>
            <w:t>服务可用性</w:t>
          </w:r>
          <w:r>
            <w:tab/>
          </w:r>
          <w:r>
            <w:fldChar w:fldCharType="begin"/>
          </w:r>
          <w:r>
            <w:instrText xml:space="preserve"> PAGEREF _Toc32269 \h </w:instrText>
          </w:r>
          <w:r>
            <w:fldChar w:fldCharType="separate"/>
          </w:r>
          <w:r>
            <w:t>6</w:t>
          </w:r>
          <w:r>
            <w:fldChar w:fldCharType="end"/>
          </w:r>
          <w:r>
            <w:rPr>
              <w:rFonts w:hint="eastAsia" w:ascii="宋体" w:hAnsi="宋体" w:eastAsia="宋体" w:cs="宋体"/>
              <w:szCs w:val="24"/>
            </w:rPr>
            <w:fldChar w:fldCharType="end"/>
          </w:r>
        </w:p>
        <w:p w14:paraId="29B86F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_Toc15496 </w:instrText>
          </w:r>
          <w:r>
            <w:rPr>
              <w:rFonts w:hint="eastAsia" w:ascii="宋体" w:hAnsi="宋体" w:eastAsia="宋体" w:cs="宋体"/>
              <w:szCs w:val="24"/>
            </w:rPr>
            <w:fldChar w:fldCharType="separate"/>
          </w:r>
          <w:r>
            <w:rPr>
              <w:rFonts w:hint="default"/>
            </w:rPr>
            <w:t xml:space="preserve">3.2. </w:t>
          </w:r>
          <w:r>
            <w:rPr>
              <w:rFonts w:hint="eastAsia"/>
            </w:rPr>
            <w:t>服务连续性</w:t>
          </w:r>
          <w:r>
            <w:tab/>
          </w:r>
          <w:r>
            <w:fldChar w:fldCharType="begin"/>
          </w:r>
          <w:r>
            <w:instrText xml:space="preserve"> PAGEREF _Toc15496 \h </w:instrText>
          </w:r>
          <w:r>
            <w:fldChar w:fldCharType="separate"/>
          </w:r>
          <w:r>
            <w:t>6</w:t>
          </w:r>
          <w:r>
            <w:fldChar w:fldCharType="end"/>
          </w:r>
          <w:r>
            <w:rPr>
              <w:rFonts w:hint="eastAsia" w:ascii="宋体" w:hAnsi="宋体" w:eastAsia="宋体" w:cs="宋体"/>
              <w:szCs w:val="24"/>
            </w:rPr>
            <w:fldChar w:fldCharType="end"/>
          </w:r>
        </w:p>
        <w:p w14:paraId="4634AE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_Toc19300 </w:instrText>
          </w:r>
          <w:r>
            <w:rPr>
              <w:rFonts w:hint="eastAsia" w:ascii="宋体" w:hAnsi="宋体" w:eastAsia="宋体" w:cs="宋体"/>
              <w:szCs w:val="24"/>
            </w:rPr>
            <w:fldChar w:fldCharType="separate"/>
          </w:r>
          <w:r>
            <w:rPr>
              <w:rFonts w:hint="default"/>
            </w:rPr>
            <w:t xml:space="preserve">3.3. </w:t>
          </w:r>
          <w:r>
            <w:rPr>
              <w:rFonts w:hint="eastAsia"/>
            </w:rPr>
            <w:t>业务影响分析（BIA）</w:t>
          </w:r>
          <w:r>
            <w:tab/>
          </w:r>
          <w:r>
            <w:fldChar w:fldCharType="begin"/>
          </w:r>
          <w:r>
            <w:instrText xml:space="preserve"> PAGEREF _Toc19300 \h </w:instrText>
          </w:r>
          <w:r>
            <w:fldChar w:fldCharType="separate"/>
          </w:r>
          <w:r>
            <w:t>7</w:t>
          </w:r>
          <w:r>
            <w:fldChar w:fldCharType="end"/>
          </w:r>
          <w:r>
            <w:rPr>
              <w:rFonts w:hint="eastAsia" w:ascii="宋体" w:hAnsi="宋体" w:eastAsia="宋体" w:cs="宋体"/>
              <w:szCs w:val="24"/>
            </w:rPr>
            <w:fldChar w:fldCharType="end"/>
          </w:r>
        </w:p>
        <w:p w14:paraId="4F8BCE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_Toc4629 </w:instrText>
          </w:r>
          <w:r>
            <w:rPr>
              <w:rFonts w:hint="eastAsia" w:ascii="宋体" w:hAnsi="宋体" w:eastAsia="宋体" w:cs="宋体"/>
              <w:szCs w:val="24"/>
            </w:rPr>
            <w:fldChar w:fldCharType="separate"/>
          </w:r>
          <w:r>
            <w:rPr>
              <w:rFonts w:hint="default"/>
            </w:rPr>
            <w:t xml:space="preserve">3.4. </w:t>
          </w:r>
          <w:r>
            <w:rPr>
              <w:rFonts w:hint="eastAsia"/>
            </w:rPr>
            <w:t>恢复时间目标（RTO）</w:t>
          </w:r>
          <w:r>
            <w:tab/>
          </w:r>
          <w:r>
            <w:fldChar w:fldCharType="begin"/>
          </w:r>
          <w:r>
            <w:instrText xml:space="preserve"> PAGEREF _Toc4629 \h </w:instrText>
          </w:r>
          <w:r>
            <w:fldChar w:fldCharType="separate"/>
          </w:r>
          <w:r>
            <w:t>7</w:t>
          </w:r>
          <w:r>
            <w:fldChar w:fldCharType="end"/>
          </w:r>
          <w:r>
            <w:rPr>
              <w:rFonts w:hint="eastAsia" w:ascii="宋体" w:hAnsi="宋体" w:eastAsia="宋体" w:cs="宋体"/>
              <w:szCs w:val="24"/>
            </w:rPr>
            <w:fldChar w:fldCharType="end"/>
          </w:r>
        </w:p>
        <w:p w14:paraId="35736F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_Toc11686 </w:instrText>
          </w:r>
          <w:r>
            <w:rPr>
              <w:rFonts w:hint="eastAsia" w:ascii="宋体" w:hAnsi="宋体" w:eastAsia="宋体" w:cs="宋体"/>
              <w:szCs w:val="24"/>
            </w:rPr>
            <w:fldChar w:fldCharType="separate"/>
          </w:r>
          <w:r>
            <w:rPr>
              <w:rFonts w:hint="default"/>
            </w:rPr>
            <w:t xml:space="preserve">3.5. </w:t>
          </w:r>
          <w:r>
            <w:rPr>
              <w:rFonts w:hint="eastAsia"/>
            </w:rPr>
            <w:t>恢复点目标（RPO）</w:t>
          </w:r>
          <w:r>
            <w:tab/>
          </w:r>
          <w:r>
            <w:fldChar w:fldCharType="begin"/>
          </w:r>
          <w:r>
            <w:instrText xml:space="preserve"> PAGEREF _Toc11686 \h </w:instrText>
          </w:r>
          <w:r>
            <w:fldChar w:fldCharType="separate"/>
          </w:r>
          <w:r>
            <w:t>7</w:t>
          </w:r>
          <w:r>
            <w:fldChar w:fldCharType="end"/>
          </w:r>
          <w:r>
            <w:rPr>
              <w:rFonts w:hint="eastAsia" w:ascii="宋体" w:hAnsi="宋体" w:eastAsia="宋体" w:cs="宋体"/>
              <w:szCs w:val="24"/>
            </w:rPr>
            <w:fldChar w:fldCharType="end"/>
          </w:r>
        </w:p>
        <w:p w14:paraId="73800E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_Toc28596 </w:instrText>
          </w:r>
          <w:r>
            <w:rPr>
              <w:rFonts w:hint="eastAsia" w:ascii="宋体" w:hAnsi="宋体" w:eastAsia="宋体" w:cs="宋体"/>
              <w:szCs w:val="24"/>
            </w:rPr>
            <w:fldChar w:fldCharType="separate"/>
          </w:r>
          <w:r>
            <w:rPr>
              <w:rFonts w:hint="default"/>
            </w:rPr>
            <w:t xml:space="preserve">3.6. </w:t>
          </w:r>
          <w:r>
            <w:rPr>
              <w:rFonts w:hint="eastAsia"/>
            </w:rPr>
            <w:t>平均无故障时间（MTBF）</w:t>
          </w:r>
          <w:r>
            <w:tab/>
          </w:r>
          <w:r>
            <w:fldChar w:fldCharType="begin"/>
          </w:r>
          <w:r>
            <w:instrText xml:space="preserve"> PAGEREF _Toc28596 \h </w:instrText>
          </w:r>
          <w:r>
            <w:fldChar w:fldCharType="separate"/>
          </w:r>
          <w:r>
            <w:t>7</w:t>
          </w:r>
          <w:r>
            <w:fldChar w:fldCharType="end"/>
          </w:r>
          <w:r>
            <w:rPr>
              <w:rFonts w:hint="eastAsia" w:ascii="宋体" w:hAnsi="宋体" w:eastAsia="宋体" w:cs="宋体"/>
              <w:szCs w:val="24"/>
            </w:rPr>
            <w:fldChar w:fldCharType="end"/>
          </w:r>
        </w:p>
        <w:p w14:paraId="595E4E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 </w:instrText>
          </w:r>
          <w:r>
            <w:rPr>
              <w:rFonts w:hint="eastAsia" w:ascii="宋体" w:hAnsi="宋体" w:eastAsia="宋体" w:cs="宋体"/>
              <w:szCs w:val="24"/>
            </w:rPr>
            <w:fldChar w:fldCharType="separate"/>
          </w:r>
          <w:r>
            <w:rPr>
              <w:rFonts w:hint="default"/>
            </w:rPr>
            <w:t xml:space="preserve">3.7. </w:t>
          </w:r>
          <w:r>
            <w:rPr>
              <w:rFonts w:hint="eastAsia"/>
            </w:rPr>
            <w:t>平均修复时间（MTTR）</w:t>
          </w:r>
          <w:r>
            <w:tab/>
          </w:r>
          <w:r>
            <w:fldChar w:fldCharType="begin"/>
          </w:r>
          <w:r>
            <w:instrText xml:space="preserve"> PAGEREF _Toc57 \h </w:instrText>
          </w:r>
          <w:r>
            <w:fldChar w:fldCharType="separate"/>
          </w:r>
          <w:r>
            <w:t>7</w:t>
          </w:r>
          <w:r>
            <w:fldChar w:fldCharType="end"/>
          </w:r>
          <w:r>
            <w:rPr>
              <w:rFonts w:hint="eastAsia" w:ascii="宋体" w:hAnsi="宋体" w:eastAsia="宋体" w:cs="宋体"/>
              <w:szCs w:val="24"/>
            </w:rPr>
            <w:fldChar w:fldCharType="end"/>
          </w:r>
        </w:p>
        <w:p w14:paraId="019EFF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_Toc19407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_Toc19407 \h </w:instrText>
          </w:r>
          <w:r>
            <w:fldChar w:fldCharType="separate"/>
          </w:r>
          <w:r>
            <w:t>7</w:t>
          </w:r>
          <w:r>
            <w:fldChar w:fldCharType="end"/>
          </w:r>
          <w:r>
            <w:rPr>
              <w:rFonts w:hint="eastAsia" w:ascii="宋体" w:hAnsi="宋体" w:eastAsia="宋体" w:cs="宋体"/>
              <w:szCs w:val="24"/>
            </w:rPr>
            <w:fldChar w:fldCharType="end"/>
          </w:r>
        </w:p>
        <w:p w14:paraId="716CDA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_Toc11792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服务可用性管理</w:t>
          </w:r>
          <w:r>
            <w:tab/>
          </w:r>
          <w:r>
            <w:fldChar w:fldCharType="begin"/>
          </w:r>
          <w:r>
            <w:instrText xml:space="preserve"> PAGEREF _Toc11792 \h </w:instrText>
          </w:r>
          <w:r>
            <w:fldChar w:fldCharType="separate"/>
          </w:r>
          <w:r>
            <w:t>7</w:t>
          </w:r>
          <w:r>
            <w:fldChar w:fldCharType="end"/>
          </w:r>
          <w:r>
            <w:rPr>
              <w:rFonts w:hint="eastAsia" w:ascii="宋体" w:hAnsi="宋体" w:eastAsia="宋体" w:cs="宋体"/>
              <w:szCs w:val="24"/>
            </w:rPr>
            <w:fldChar w:fldCharType="end"/>
          </w:r>
        </w:p>
        <w:p w14:paraId="368AAC8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_Toc17138 </w:instrText>
          </w:r>
          <w:r>
            <w:rPr>
              <w:rFonts w:hint="eastAsia" w:ascii="宋体" w:hAnsi="宋体" w:eastAsia="宋体" w:cs="宋体"/>
              <w:szCs w:val="24"/>
            </w:rPr>
            <w:fldChar w:fldCharType="separate"/>
          </w:r>
          <w:r>
            <w:rPr>
              <w:rFonts w:hint="default"/>
              <w:lang w:val="en-US" w:eastAsia="zh-CN"/>
            </w:rPr>
            <w:t>4.1.1. 可用性目标管理</w:t>
          </w:r>
          <w:r>
            <w:tab/>
          </w:r>
          <w:r>
            <w:fldChar w:fldCharType="begin"/>
          </w:r>
          <w:r>
            <w:instrText xml:space="preserve"> PAGEREF _Toc17138 \h </w:instrText>
          </w:r>
          <w:r>
            <w:fldChar w:fldCharType="separate"/>
          </w:r>
          <w:r>
            <w:t>7</w:t>
          </w:r>
          <w:r>
            <w:fldChar w:fldCharType="end"/>
          </w:r>
          <w:r>
            <w:rPr>
              <w:rFonts w:hint="eastAsia" w:ascii="宋体" w:hAnsi="宋体" w:eastAsia="宋体" w:cs="宋体"/>
              <w:szCs w:val="24"/>
            </w:rPr>
            <w:fldChar w:fldCharType="end"/>
          </w:r>
        </w:p>
        <w:p w14:paraId="0506865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_Toc29000 </w:instrText>
          </w:r>
          <w:r>
            <w:rPr>
              <w:rFonts w:hint="eastAsia" w:ascii="宋体" w:hAnsi="宋体" w:eastAsia="宋体" w:cs="宋体"/>
              <w:szCs w:val="24"/>
            </w:rPr>
            <w:fldChar w:fldCharType="separate"/>
          </w:r>
          <w:r>
            <w:rPr>
              <w:rFonts w:hint="default"/>
              <w:lang w:val="en-US" w:eastAsia="zh-CN"/>
            </w:rPr>
            <w:t>4.1.2. 系统框架管理</w:t>
          </w:r>
          <w:r>
            <w:tab/>
          </w:r>
          <w:r>
            <w:fldChar w:fldCharType="begin"/>
          </w:r>
          <w:r>
            <w:instrText xml:space="preserve"> PAGEREF _Toc29000 \h </w:instrText>
          </w:r>
          <w:r>
            <w:fldChar w:fldCharType="separate"/>
          </w:r>
          <w:r>
            <w:t>7</w:t>
          </w:r>
          <w:r>
            <w:fldChar w:fldCharType="end"/>
          </w:r>
          <w:r>
            <w:rPr>
              <w:rFonts w:hint="eastAsia" w:ascii="宋体" w:hAnsi="宋体" w:eastAsia="宋体" w:cs="宋体"/>
              <w:szCs w:val="24"/>
            </w:rPr>
            <w:fldChar w:fldCharType="end"/>
          </w:r>
        </w:p>
        <w:p w14:paraId="66A58F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_Toc32648 </w:instrText>
          </w:r>
          <w:r>
            <w:rPr>
              <w:rFonts w:hint="eastAsia" w:ascii="宋体" w:hAnsi="宋体" w:eastAsia="宋体" w:cs="宋体"/>
              <w:szCs w:val="24"/>
            </w:rPr>
            <w:fldChar w:fldCharType="separate"/>
          </w:r>
          <w:r>
            <w:rPr>
              <w:rFonts w:hint="default"/>
              <w:lang w:val="en-US" w:eastAsia="zh-CN"/>
            </w:rPr>
            <w:t>4.1.3. 监控与数据收集</w:t>
          </w:r>
          <w:r>
            <w:tab/>
          </w:r>
          <w:r>
            <w:fldChar w:fldCharType="begin"/>
          </w:r>
          <w:r>
            <w:instrText xml:space="preserve"> PAGEREF _Toc32648 \h </w:instrText>
          </w:r>
          <w:r>
            <w:fldChar w:fldCharType="separate"/>
          </w:r>
          <w:r>
            <w:t>8</w:t>
          </w:r>
          <w:r>
            <w:fldChar w:fldCharType="end"/>
          </w:r>
          <w:r>
            <w:rPr>
              <w:rFonts w:hint="eastAsia" w:ascii="宋体" w:hAnsi="宋体" w:eastAsia="宋体" w:cs="宋体"/>
              <w:szCs w:val="24"/>
            </w:rPr>
            <w:fldChar w:fldCharType="end"/>
          </w:r>
        </w:p>
        <w:p w14:paraId="120C33F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_Toc10357 </w:instrText>
          </w:r>
          <w:r>
            <w:rPr>
              <w:rFonts w:hint="eastAsia" w:ascii="宋体" w:hAnsi="宋体" w:eastAsia="宋体" w:cs="宋体"/>
              <w:szCs w:val="24"/>
            </w:rPr>
            <w:fldChar w:fldCharType="separate"/>
          </w:r>
          <w:r>
            <w:rPr>
              <w:rFonts w:hint="default"/>
              <w:lang w:val="en-US" w:eastAsia="zh-CN"/>
            </w:rPr>
            <w:t>4.1.4. 可用性分析与改进</w:t>
          </w:r>
          <w:r>
            <w:tab/>
          </w:r>
          <w:r>
            <w:fldChar w:fldCharType="begin"/>
          </w:r>
          <w:r>
            <w:instrText xml:space="preserve"> PAGEREF _Toc10357 \h </w:instrText>
          </w:r>
          <w:r>
            <w:fldChar w:fldCharType="separate"/>
          </w:r>
          <w:r>
            <w:t>8</w:t>
          </w:r>
          <w:r>
            <w:fldChar w:fldCharType="end"/>
          </w:r>
          <w:r>
            <w:rPr>
              <w:rFonts w:hint="eastAsia" w:ascii="宋体" w:hAnsi="宋体" w:eastAsia="宋体" w:cs="宋体"/>
              <w:szCs w:val="24"/>
            </w:rPr>
            <w:fldChar w:fldCharType="end"/>
          </w:r>
        </w:p>
        <w:p w14:paraId="0640FF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_Toc5207 </w:instrText>
          </w:r>
          <w:r>
            <w:rPr>
              <w:rFonts w:hint="eastAsia" w:ascii="宋体" w:hAnsi="宋体" w:eastAsia="宋体" w:cs="宋体"/>
              <w:szCs w:val="24"/>
            </w:rPr>
            <w:fldChar w:fldCharType="separate"/>
          </w:r>
          <w:r>
            <w:rPr>
              <w:rFonts w:hint="default"/>
              <w:lang w:val="en-US" w:eastAsia="zh-CN"/>
            </w:rPr>
            <w:t>4.2. 服务连续性管理</w:t>
          </w:r>
          <w:r>
            <w:tab/>
          </w:r>
          <w:r>
            <w:fldChar w:fldCharType="begin"/>
          </w:r>
          <w:r>
            <w:instrText xml:space="preserve"> PAGEREF _Toc5207 \h </w:instrText>
          </w:r>
          <w:r>
            <w:fldChar w:fldCharType="separate"/>
          </w:r>
          <w:r>
            <w:t>8</w:t>
          </w:r>
          <w:r>
            <w:fldChar w:fldCharType="end"/>
          </w:r>
          <w:r>
            <w:rPr>
              <w:rFonts w:hint="eastAsia" w:ascii="宋体" w:hAnsi="宋体" w:eastAsia="宋体" w:cs="宋体"/>
              <w:szCs w:val="24"/>
            </w:rPr>
            <w:fldChar w:fldCharType="end"/>
          </w:r>
        </w:p>
        <w:p w14:paraId="1273688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_Toc14243 </w:instrText>
          </w:r>
          <w:r>
            <w:rPr>
              <w:rFonts w:hint="eastAsia" w:ascii="宋体" w:hAnsi="宋体" w:eastAsia="宋体" w:cs="宋体"/>
              <w:szCs w:val="24"/>
            </w:rPr>
            <w:fldChar w:fldCharType="separate"/>
          </w:r>
          <w:r>
            <w:rPr>
              <w:rFonts w:hint="default"/>
              <w:lang w:val="en-US" w:eastAsia="zh-CN"/>
            </w:rPr>
            <w:t>4.2.1. 业务影响分析（BIA）</w:t>
          </w:r>
          <w:r>
            <w:tab/>
          </w:r>
          <w:r>
            <w:fldChar w:fldCharType="begin"/>
          </w:r>
          <w:r>
            <w:instrText xml:space="preserve"> PAGEREF _Toc14243 \h </w:instrText>
          </w:r>
          <w:r>
            <w:fldChar w:fldCharType="separate"/>
          </w:r>
          <w:r>
            <w:t>8</w:t>
          </w:r>
          <w:r>
            <w:fldChar w:fldCharType="end"/>
          </w:r>
          <w:r>
            <w:rPr>
              <w:rFonts w:hint="eastAsia" w:ascii="宋体" w:hAnsi="宋体" w:eastAsia="宋体" w:cs="宋体"/>
              <w:szCs w:val="24"/>
            </w:rPr>
            <w:fldChar w:fldCharType="end"/>
          </w:r>
        </w:p>
        <w:p w14:paraId="01C7A15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_Toc2073 </w:instrText>
          </w:r>
          <w:r>
            <w:rPr>
              <w:rFonts w:hint="eastAsia" w:ascii="宋体" w:hAnsi="宋体" w:eastAsia="宋体" w:cs="宋体"/>
              <w:szCs w:val="24"/>
            </w:rPr>
            <w:fldChar w:fldCharType="separate"/>
          </w:r>
          <w:r>
            <w:rPr>
              <w:rFonts w:hint="default"/>
              <w:lang w:val="en-US" w:eastAsia="zh-CN"/>
            </w:rPr>
            <w:t>4.2.2. 连续性策略制定</w:t>
          </w:r>
          <w:r>
            <w:tab/>
          </w:r>
          <w:r>
            <w:fldChar w:fldCharType="begin"/>
          </w:r>
          <w:r>
            <w:instrText xml:space="preserve"> PAGEREF _Toc2073 \h </w:instrText>
          </w:r>
          <w:r>
            <w:fldChar w:fldCharType="separate"/>
          </w:r>
          <w:r>
            <w:t>9</w:t>
          </w:r>
          <w:r>
            <w:fldChar w:fldCharType="end"/>
          </w:r>
          <w:r>
            <w:rPr>
              <w:rFonts w:hint="eastAsia" w:ascii="宋体" w:hAnsi="宋体" w:eastAsia="宋体" w:cs="宋体"/>
              <w:szCs w:val="24"/>
            </w:rPr>
            <w:fldChar w:fldCharType="end"/>
          </w:r>
        </w:p>
        <w:p w14:paraId="3423663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_Toc23064 </w:instrText>
          </w:r>
          <w:r>
            <w:rPr>
              <w:rFonts w:hint="eastAsia" w:ascii="宋体" w:hAnsi="宋体" w:eastAsia="宋体" w:cs="宋体"/>
              <w:szCs w:val="24"/>
            </w:rPr>
            <w:fldChar w:fldCharType="separate"/>
          </w:r>
          <w:r>
            <w:rPr>
              <w:rFonts w:hint="default"/>
              <w:lang w:val="en-US" w:eastAsia="zh-CN"/>
            </w:rPr>
            <w:t>4.2.3. 连续性计划开发</w:t>
          </w:r>
          <w:r>
            <w:tab/>
          </w:r>
          <w:r>
            <w:fldChar w:fldCharType="begin"/>
          </w:r>
          <w:r>
            <w:instrText xml:space="preserve"> PAGEREF _Toc23064 \h </w:instrText>
          </w:r>
          <w:r>
            <w:fldChar w:fldCharType="separate"/>
          </w:r>
          <w:r>
            <w:t>9</w:t>
          </w:r>
          <w:r>
            <w:fldChar w:fldCharType="end"/>
          </w:r>
          <w:r>
            <w:rPr>
              <w:rFonts w:hint="eastAsia" w:ascii="宋体" w:hAnsi="宋体" w:eastAsia="宋体" w:cs="宋体"/>
              <w:szCs w:val="24"/>
            </w:rPr>
            <w:fldChar w:fldCharType="end"/>
          </w:r>
        </w:p>
        <w:p w14:paraId="40DC3B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_Toc678 </w:instrText>
          </w:r>
          <w:r>
            <w:rPr>
              <w:rFonts w:hint="eastAsia" w:ascii="宋体" w:hAnsi="宋体" w:eastAsia="宋体" w:cs="宋体"/>
              <w:szCs w:val="24"/>
            </w:rPr>
            <w:fldChar w:fldCharType="separate"/>
          </w:r>
          <w:r>
            <w:rPr>
              <w:rFonts w:hint="default"/>
              <w:lang w:val="en-US" w:eastAsia="zh-CN"/>
            </w:rPr>
            <w:t>4.2.4. 演练与测试</w:t>
          </w:r>
          <w:r>
            <w:tab/>
          </w:r>
          <w:r>
            <w:fldChar w:fldCharType="begin"/>
          </w:r>
          <w:r>
            <w:instrText xml:space="preserve"> PAGEREF _Toc678 \h </w:instrText>
          </w:r>
          <w:r>
            <w:fldChar w:fldCharType="separate"/>
          </w:r>
          <w:r>
            <w:t>9</w:t>
          </w:r>
          <w:r>
            <w:fldChar w:fldCharType="end"/>
          </w:r>
          <w:r>
            <w:rPr>
              <w:rFonts w:hint="eastAsia" w:ascii="宋体" w:hAnsi="宋体" w:eastAsia="宋体" w:cs="宋体"/>
              <w:szCs w:val="24"/>
            </w:rPr>
            <w:fldChar w:fldCharType="end"/>
          </w:r>
        </w:p>
        <w:p w14:paraId="0E1D52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_Toc13137 </w:instrText>
          </w:r>
          <w:r>
            <w:rPr>
              <w:rFonts w:hint="eastAsia" w:ascii="宋体" w:hAnsi="宋体" w:eastAsia="宋体" w:cs="宋体"/>
              <w:szCs w:val="24"/>
            </w:rPr>
            <w:fldChar w:fldCharType="separate"/>
          </w:r>
          <w:r>
            <w:rPr>
              <w:rFonts w:hint="default"/>
              <w:lang w:val="en-US" w:eastAsia="zh-CN"/>
            </w:rPr>
            <w:t>4.2.5. 计划维护与更新</w:t>
          </w:r>
          <w:r>
            <w:tab/>
          </w:r>
          <w:r>
            <w:fldChar w:fldCharType="begin"/>
          </w:r>
          <w:r>
            <w:instrText xml:space="preserve"> PAGEREF _Toc13137 \h </w:instrText>
          </w:r>
          <w:r>
            <w:fldChar w:fldCharType="separate"/>
          </w:r>
          <w:r>
            <w:t>10</w:t>
          </w:r>
          <w:r>
            <w:fldChar w:fldCharType="end"/>
          </w:r>
          <w:r>
            <w:rPr>
              <w:rFonts w:hint="eastAsia" w:ascii="宋体" w:hAnsi="宋体" w:eastAsia="宋体" w:cs="宋体"/>
              <w:szCs w:val="24"/>
            </w:rPr>
            <w:fldChar w:fldCharType="end"/>
          </w:r>
        </w:p>
        <w:p w14:paraId="200EDA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_Toc20606 </w:instrText>
          </w:r>
          <w:r>
            <w:rPr>
              <w:rFonts w:hint="eastAsia" w:ascii="宋体" w:hAnsi="宋体" w:eastAsia="宋体" w:cs="宋体"/>
              <w:szCs w:val="24"/>
            </w:rPr>
            <w:fldChar w:fldCharType="separate"/>
          </w:r>
          <w:r>
            <w:rPr>
              <w:rFonts w:hint="default"/>
              <w:lang w:val="en-US" w:eastAsia="zh-CN"/>
            </w:rPr>
            <w:t>4.3. 培训与意识培养</w:t>
          </w:r>
          <w:r>
            <w:tab/>
          </w:r>
          <w:r>
            <w:fldChar w:fldCharType="begin"/>
          </w:r>
          <w:r>
            <w:instrText xml:space="preserve"> PAGEREF _Toc20606 \h </w:instrText>
          </w:r>
          <w:r>
            <w:fldChar w:fldCharType="separate"/>
          </w:r>
          <w:r>
            <w:t>10</w:t>
          </w:r>
          <w:r>
            <w:fldChar w:fldCharType="end"/>
          </w:r>
          <w:r>
            <w:rPr>
              <w:rFonts w:hint="eastAsia" w:ascii="宋体" w:hAnsi="宋体" w:eastAsia="宋体" w:cs="宋体"/>
              <w:szCs w:val="24"/>
            </w:rPr>
            <w:fldChar w:fldCharType="end"/>
          </w:r>
        </w:p>
        <w:p w14:paraId="29855B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_Toc8412 </w:instrText>
          </w:r>
          <w:r>
            <w:rPr>
              <w:rFonts w:hint="eastAsia" w:ascii="宋体" w:hAnsi="宋体" w:eastAsia="宋体" w:cs="宋体"/>
              <w:szCs w:val="24"/>
            </w:rPr>
            <w:fldChar w:fldCharType="separate"/>
          </w:r>
          <w:r>
            <w:rPr>
              <w:rFonts w:hint="default"/>
              <w:lang w:val="en-US" w:eastAsia="zh-CN"/>
            </w:rPr>
            <w:t>4.3.1. 定期培训</w:t>
          </w:r>
          <w:r>
            <w:tab/>
          </w:r>
          <w:r>
            <w:fldChar w:fldCharType="begin"/>
          </w:r>
          <w:r>
            <w:instrText xml:space="preserve"> PAGEREF _Toc8412 \h </w:instrText>
          </w:r>
          <w:r>
            <w:fldChar w:fldCharType="separate"/>
          </w:r>
          <w:r>
            <w:t>10</w:t>
          </w:r>
          <w:r>
            <w:fldChar w:fldCharType="end"/>
          </w:r>
          <w:r>
            <w:rPr>
              <w:rFonts w:hint="eastAsia" w:ascii="宋体" w:hAnsi="宋体" w:eastAsia="宋体" w:cs="宋体"/>
              <w:szCs w:val="24"/>
            </w:rPr>
            <w:fldChar w:fldCharType="end"/>
          </w:r>
        </w:p>
        <w:p w14:paraId="13FE79D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_Toc22467 </w:instrText>
          </w:r>
          <w:r>
            <w:rPr>
              <w:rFonts w:hint="eastAsia" w:ascii="宋体" w:hAnsi="宋体" w:eastAsia="宋体" w:cs="宋体"/>
              <w:szCs w:val="24"/>
            </w:rPr>
            <w:fldChar w:fldCharType="separate"/>
          </w:r>
          <w:r>
            <w:rPr>
              <w:rFonts w:hint="default"/>
              <w:lang w:val="en-US" w:eastAsia="zh-CN"/>
            </w:rPr>
            <w:t>4.3.2. 意识培养</w:t>
          </w:r>
          <w:r>
            <w:tab/>
          </w:r>
          <w:r>
            <w:fldChar w:fldCharType="begin"/>
          </w:r>
          <w:r>
            <w:instrText xml:space="preserve"> PAGEREF _Toc22467 \h </w:instrText>
          </w:r>
          <w:r>
            <w:fldChar w:fldCharType="separate"/>
          </w:r>
          <w:r>
            <w:t>10</w:t>
          </w:r>
          <w:r>
            <w:fldChar w:fldCharType="end"/>
          </w:r>
          <w:r>
            <w:rPr>
              <w:rFonts w:hint="eastAsia" w:ascii="宋体" w:hAnsi="宋体" w:eastAsia="宋体" w:cs="宋体"/>
              <w:szCs w:val="24"/>
            </w:rPr>
            <w:fldChar w:fldCharType="end"/>
          </w:r>
        </w:p>
        <w:p w14:paraId="699DBF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_Toc7156 </w:instrText>
          </w:r>
          <w:r>
            <w:rPr>
              <w:rFonts w:hint="eastAsia" w:ascii="宋体" w:hAnsi="宋体" w:eastAsia="宋体" w:cs="宋体"/>
              <w:szCs w:val="24"/>
            </w:rPr>
            <w:fldChar w:fldCharType="separate"/>
          </w:r>
          <w:r>
            <w:rPr>
              <w:rFonts w:hint="default"/>
              <w:lang w:val="en-US" w:eastAsia="zh-CN"/>
            </w:rPr>
            <w:t>4.4. 关键控制点与测量指标</w:t>
          </w:r>
          <w:r>
            <w:tab/>
          </w:r>
          <w:r>
            <w:fldChar w:fldCharType="begin"/>
          </w:r>
          <w:r>
            <w:instrText xml:space="preserve"> PAGEREF _Toc7156 \h </w:instrText>
          </w:r>
          <w:r>
            <w:fldChar w:fldCharType="separate"/>
          </w:r>
          <w:r>
            <w:t>10</w:t>
          </w:r>
          <w:r>
            <w:fldChar w:fldCharType="end"/>
          </w:r>
          <w:r>
            <w:rPr>
              <w:rFonts w:hint="eastAsia" w:ascii="宋体" w:hAnsi="宋体" w:eastAsia="宋体" w:cs="宋体"/>
              <w:szCs w:val="24"/>
            </w:rPr>
            <w:fldChar w:fldCharType="end"/>
          </w:r>
        </w:p>
        <w:p w14:paraId="52AAE5E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_Toc12770 </w:instrText>
          </w:r>
          <w:r>
            <w:rPr>
              <w:rFonts w:hint="eastAsia" w:ascii="宋体" w:hAnsi="宋体" w:eastAsia="宋体" w:cs="宋体"/>
              <w:szCs w:val="24"/>
            </w:rPr>
            <w:fldChar w:fldCharType="separate"/>
          </w:r>
          <w:r>
            <w:rPr>
              <w:rFonts w:hint="default"/>
              <w:lang w:val="en-US" w:eastAsia="zh-CN"/>
            </w:rPr>
            <w:t>4.4.1. 关键控制点</w:t>
          </w:r>
          <w:r>
            <w:tab/>
          </w:r>
          <w:r>
            <w:fldChar w:fldCharType="begin"/>
          </w:r>
          <w:r>
            <w:instrText xml:space="preserve"> PAGEREF _Toc12770 \h </w:instrText>
          </w:r>
          <w:r>
            <w:fldChar w:fldCharType="separate"/>
          </w:r>
          <w:r>
            <w:t>10</w:t>
          </w:r>
          <w:r>
            <w:fldChar w:fldCharType="end"/>
          </w:r>
          <w:r>
            <w:rPr>
              <w:rFonts w:hint="eastAsia" w:ascii="宋体" w:hAnsi="宋体" w:eastAsia="宋体" w:cs="宋体"/>
              <w:szCs w:val="24"/>
            </w:rPr>
            <w:fldChar w:fldCharType="end"/>
          </w:r>
        </w:p>
        <w:p w14:paraId="2955CF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_Toc12554 </w:instrText>
          </w:r>
          <w:r>
            <w:rPr>
              <w:rFonts w:hint="eastAsia" w:ascii="宋体" w:hAnsi="宋体" w:eastAsia="宋体" w:cs="宋体"/>
              <w:szCs w:val="24"/>
            </w:rPr>
            <w:fldChar w:fldCharType="separate"/>
          </w:r>
          <w:r>
            <w:rPr>
              <w:rFonts w:hint="default"/>
              <w:lang w:val="en-US" w:eastAsia="zh-CN"/>
            </w:rPr>
            <w:t>4.4.2. 指标监控与改进</w:t>
          </w:r>
          <w:r>
            <w:tab/>
          </w:r>
          <w:r>
            <w:fldChar w:fldCharType="begin"/>
          </w:r>
          <w:r>
            <w:instrText xml:space="preserve"> PAGEREF _Toc12554 \h </w:instrText>
          </w:r>
          <w:r>
            <w:fldChar w:fldCharType="separate"/>
          </w:r>
          <w:r>
            <w:t>11</w:t>
          </w:r>
          <w:r>
            <w:fldChar w:fldCharType="end"/>
          </w:r>
          <w:r>
            <w:rPr>
              <w:rFonts w:hint="eastAsia" w:ascii="宋体" w:hAnsi="宋体" w:eastAsia="宋体" w:cs="宋体"/>
              <w:szCs w:val="24"/>
            </w:rPr>
            <w:fldChar w:fldCharType="end"/>
          </w:r>
        </w:p>
        <w:p w14:paraId="4CA8807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_Toc30571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过程测量指标</w:t>
          </w:r>
          <w:r>
            <w:tab/>
          </w:r>
          <w:r>
            <w:fldChar w:fldCharType="begin"/>
          </w:r>
          <w:r>
            <w:instrText xml:space="preserve"> PAGEREF _Toc30571 \h </w:instrText>
          </w:r>
          <w:r>
            <w:fldChar w:fldCharType="separate"/>
          </w:r>
          <w:r>
            <w:t>11</w:t>
          </w:r>
          <w:r>
            <w:fldChar w:fldCharType="end"/>
          </w:r>
          <w:r>
            <w:rPr>
              <w:rFonts w:hint="eastAsia" w:ascii="宋体" w:hAnsi="宋体" w:eastAsia="宋体" w:cs="宋体"/>
              <w:szCs w:val="24"/>
            </w:rPr>
            <w:fldChar w:fldCharType="end"/>
          </w:r>
        </w:p>
        <w:p w14:paraId="0935F73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_Toc1193 \h </w:instrText>
          </w:r>
          <w:r>
            <w:fldChar w:fldCharType="separate"/>
          </w:r>
          <w:r>
            <w:t>11</w:t>
          </w:r>
          <w:r>
            <w:fldChar w:fldCharType="end"/>
          </w:r>
          <w:r>
            <w:rPr>
              <w:rFonts w:hint="eastAsia" w:ascii="宋体" w:hAnsi="宋体" w:eastAsia="宋体" w:cs="宋体"/>
              <w:szCs w:val="24"/>
            </w:rPr>
            <w:fldChar w:fldCharType="end"/>
          </w:r>
        </w:p>
        <w:p w14:paraId="21EA8E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_Toc30716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_Toc30716 \h </w:instrText>
          </w:r>
          <w:r>
            <w:fldChar w:fldCharType="separate"/>
          </w:r>
          <w:r>
            <w:t>11</w:t>
          </w:r>
          <w:r>
            <w:fldChar w:fldCharType="end"/>
          </w:r>
          <w:r>
            <w:rPr>
              <w:rFonts w:hint="eastAsia" w:ascii="宋体" w:hAnsi="宋体" w:eastAsia="宋体" w:cs="宋体"/>
              <w:szCs w:val="24"/>
            </w:rPr>
            <w:fldChar w:fldCharType="end"/>
          </w:r>
        </w:p>
        <w:p w14:paraId="6AF887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_Toc22607 \h </w:instrText>
          </w:r>
          <w:r>
            <w:fldChar w:fldCharType="separate"/>
          </w:r>
          <w:r>
            <w:t>11</w:t>
          </w:r>
          <w:r>
            <w:fldChar w:fldCharType="end"/>
          </w:r>
          <w:r>
            <w:rPr>
              <w:rFonts w:hint="eastAsia" w:ascii="宋体" w:hAnsi="宋体" w:eastAsia="宋体" w:cs="宋体"/>
              <w:szCs w:val="24"/>
            </w:rPr>
            <w:fldChar w:fldCharType="end"/>
          </w:r>
        </w:p>
        <w:p w14:paraId="7F58D25B">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E610751">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AC86BA1">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1352"/>
      <w:r>
        <w:rPr>
          <w:rFonts w:hint="eastAsia"/>
          <w:lang w:val="en-US" w:eastAsia="zh-CN"/>
        </w:rPr>
        <w:t>总则</w:t>
      </w:r>
      <w:bookmarkEnd w:id="2"/>
    </w:p>
    <w:p w14:paraId="7E79C6D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2659"/>
      <w:r>
        <w:rPr>
          <w:rFonts w:hint="eastAsia"/>
          <w:lang w:val="en-US" w:eastAsia="zh-CN"/>
        </w:rPr>
        <w:t>目的</w:t>
      </w:r>
      <w:bookmarkEnd w:id="3"/>
    </w:p>
    <w:p w14:paraId="2B322AA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重庆市鹧鸪哨信息技术有限责任公司运维服务的可用性与连续性管理，确保关键业务服务在约定水平下持续、稳定运行，并在中断事件后能迅速有效地恢复，以保障客户业务运营，履行服务级别协议（SLA），特制定本制度。</w:t>
      </w:r>
    </w:p>
    <w:p w14:paraId="588317D0">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499"/>
      <w:r>
        <w:rPr>
          <w:rFonts w:hint="eastAsia"/>
          <w:lang w:val="en-US" w:eastAsia="zh-CN"/>
        </w:rPr>
        <w:t>适用范围</w:t>
      </w:r>
      <w:bookmarkEnd w:id="4"/>
    </w:p>
    <w:p w14:paraId="0077D17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本制度适用于公司运维部、研发部及所有参与关键运维服务交付的部门，管理对象为纳入ITSS服务目录的所有关键业务服务及其相关的信息系统与基础设施。</w:t>
      </w:r>
    </w:p>
    <w:p w14:paraId="256414B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8136"/>
      <w:r>
        <w:rPr>
          <w:rFonts w:hint="eastAsia"/>
          <w:lang w:val="en-US" w:eastAsia="zh-CN"/>
        </w:rPr>
        <w:t>原则</w:t>
      </w:r>
      <w:bookmarkEnd w:id="5"/>
    </w:p>
    <w:p w14:paraId="5D98986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业务导向原则：可用性与连续性管理活动必须基于业务需求和对业务影响的分析。</w:t>
      </w:r>
    </w:p>
    <w:p w14:paraId="51F6A32E">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预防与恢复并重原则：在主动预防服务中断的同时，必须具备有效恢复服务的能力。</w:t>
      </w:r>
    </w:p>
    <w:p w14:paraId="56A163C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持续改进原则：定期评审和测试，确保管理策略与计划持续有效并不断优化。</w:t>
      </w:r>
    </w:p>
    <w:p w14:paraId="0A1A58C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成本效益平衡原则：控制措施的选择应与服务中断可能造成的业务损失相平衡。</w:t>
      </w:r>
    </w:p>
    <w:p w14:paraId="5B948261">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16517"/>
      <w:r>
        <w:rPr>
          <w:rFonts w:hint="eastAsia"/>
          <w:lang w:val="en-US" w:eastAsia="zh-CN"/>
        </w:rPr>
        <w:t>岗位职责</w:t>
      </w:r>
      <w:bookmarkEnd w:id="6"/>
    </w:p>
    <w:p w14:paraId="3AAAFE3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30672"/>
      <w:r>
        <w:rPr>
          <w:rFonts w:hint="eastAsia"/>
          <w:lang w:val="en-US" w:eastAsia="zh-CN"/>
        </w:rPr>
        <w:t>运维部部长</w:t>
      </w:r>
      <w:bookmarkEnd w:id="7"/>
    </w:p>
    <w:p w14:paraId="02358ACF">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负责本制度的制定、推行、监督与持续改进。</w:t>
      </w:r>
    </w:p>
    <w:p w14:paraId="552EA05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领导业务影响分析（BIA），组织制定和维护《服务连续性计划》。</w:t>
      </w:r>
    </w:p>
    <w:p w14:paraId="07993157">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协调资源，确保可用性监控与连续性演练的有效执行。</w:t>
      </w:r>
    </w:p>
    <w:p w14:paraId="0631972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26918"/>
      <w:r>
        <w:rPr>
          <w:rFonts w:hint="default"/>
          <w:lang w:val="en-US" w:eastAsia="zh-CN"/>
        </w:rPr>
        <w:t>运维部</w:t>
      </w:r>
      <w:bookmarkEnd w:id="8"/>
    </w:p>
    <w:p w14:paraId="59A1118A">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负责日常服务可用性监控、数据收集与报告。</w:t>
      </w:r>
    </w:p>
    <w:p w14:paraId="364C269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执行可用性改进措施和连续性恢复操作。</w:t>
      </w:r>
    </w:p>
    <w:p w14:paraId="0649DACF">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维护关键服务的冗余架构和备份系统。</w:t>
      </w:r>
    </w:p>
    <w:p w14:paraId="31DAD08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754"/>
      <w:r>
        <w:rPr>
          <w:rFonts w:hint="default"/>
          <w:lang w:val="en-US" w:eastAsia="zh-CN"/>
        </w:rPr>
        <w:t>研发部</w:t>
      </w:r>
      <w:bookmarkEnd w:id="9"/>
    </w:p>
    <w:p w14:paraId="47663ECA">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在系统设计与变更中考虑并实现可用性与可恢复性需求。</w:t>
      </w:r>
    </w:p>
    <w:p w14:paraId="4EB6E61D">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协助分析系统架构弱点，参与连续性计划的制定。</w:t>
      </w:r>
    </w:p>
    <w:p w14:paraId="1DA87C5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4565"/>
      <w:r>
        <w:rPr>
          <w:rFonts w:hint="default"/>
          <w:lang w:val="en-US" w:eastAsia="zh-CN"/>
        </w:rPr>
        <w:t>人力部</w:t>
      </w:r>
      <w:bookmarkEnd w:id="10"/>
    </w:p>
    <w:p w14:paraId="04809077">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确保关键岗位人员的可用性，并协助组织连续性相关的培训与意识教育。</w:t>
      </w:r>
    </w:p>
    <w:p w14:paraId="48C378B2">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8007"/>
      <w:r>
        <w:rPr>
          <w:rFonts w:hint="eastAsia"/>
          <w:lang w:val="en-US" w:eastAsia="zh-CN"/>
        </w:rPr>
        <w:t>引用依据</w:t>
      </w:r>
      <w:bookmarkEnd w:id="11"/>
    </w:p>
    <w:p w14:paraId="26C0AB5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14:paraId="7B65A30E">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7AB17259">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72EF0A21">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5E21A2DC">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164EA7E2">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7119"/>
      <w:r>
        <w:rPr>
          <w:rFonts w:hint="eastAsia"/>
          <w:lang w:val="en-US" w:eastAsia="zh-CN"/>
        </w:rPr>
        <w:t>定义与术语</w:t>
      </w:r>
      <w:bookmarkEnd w:id="12"/>
    </w:p>
    <w:p w14:paraId="5D3B96A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32269"/>
      <w:r>
        <w:rPr>
          <w:rFonts w:hint="eastAsia"/>
        </w:rPr>
        <w:t>服务可用性</w:t>
      </w:r>
      <w:bookmarkEnd w:id="13"/>
    </w:p>
    <w:p w14:paraId="1CA3490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指一项服务在约定的服务时间内，可供正常使用的比例，通常以百分比表示。</w:t>
      </w:r>
    </w:p>
    <w:p w14:paraId="4E9ECF7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5496"/>
      <w:r>
        <w:rPr>
          <w:rFonts w:hint="eastAsia"/>
        </w:rPr>
        <w:t>服务连续性</w:t>
      </w:r>
      <w:bookmarkEnd w:id="14"/>
    </w:p>
    <w:p w14:paraId="0BD4AA2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指在发生重大服务中断或灾难时，组织保持关键业务服务持续运作或快速恢复的能力。</w:t>
      </w:r>
    </w:p>
    <w:p w14:paraId="3BBBA53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9300"/>
      <w:r>
        <w:rPr>
          <w:rFonts w:hint="eastAsia"/>
        </w:rPr>
        <w:t>业务影响分析（BIA）</w:t>
      </w:r>
      <w:bookmarkEnd w:id="15"/>
    </w:p>
    <w:p w14:paraId="3BF910F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识别关键业务服务、评估中断影响及确定恢复优先级和目标的过程。</w:t>
      </w:r>
    </w:p>
    <w:p w14:paraId="1054001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629"/>
      <w:r>
        <w:rPr>
          <w:rFonts w:hint="eastAsia"/>
        </w:rPr>
        <w:t>恢复时间目标（RTO）</w:t>
      </w:r>
      <w:bookmarkEnd w:id="16"/>
    </w:p>
    <w:p w14:paraId="7A6E071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服务中断后，可容许的最长恢复时间。</w:t>
      </w:r>
    </w:p>
    <w:p w14:paraId="799F70F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1686"/>
      <w:r>
        <w:rPr>
          <w:rFonts w:hint="eastAsia"/>
        </w:rPr>
        <w:t>恢复点目标（RPO）</w:t>
      </w:r>
      <w:bookmarkEnd w:id="17"/>
    </w:p>
    <w:p w14:paraId="55CCA1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服务中断后，可容许的最大数据丢失量。</w:t>
      </w:r>
    </w:p>
    <w:p w14:paraId="44208D70">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8596"/>
      <w:r>
        <w:rPr>
          <w:rFonts w:hint="eastAsia"/>
        </w:rPr>
        <w:t>平均无故障时间（MTBF）</w:t>
      </w:r>
      <w:bookmarkEnd w:id="18"/>
    </w:p>
    <w:p w14:paraId="19C38F0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系统或组件在两次故障之间正常工作的平均时间。</w:t>
      </w:r>
    </w:p>
    <w:p w14:paraId="0D239E7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57"/>
      <w:r>
        <w:rPr>
          <w:rFonts w:hint="eastAsia"/>
        </w:rPr>
        <w:t>平均修复时间（MTTR）</w:t>
      </w:r>
      <w:bookmarkEnd w:id="19"/>
    </w:p>
    <w:p w14:paraId="1FA8BA33">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从故障发生到服务恢复所需的平均时间。</w:t>
      </w:r>
    </w:p>
    <w:p w14:paraId="113E2BDA">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9407"/>
      <w:r>
        <w:rPr>
          <w:rFonts w:hint="eastAsia"/>
          <w:lang w:val="en-US" w:eastAsia="zh-CN"/>
        </w:rPr>
        <w:t>管理内容与要求</w:t>
      </w:r>
      <w:bookmarkEnd w:id="20"/>
    </w:p>
    <w:p w14:paraId="18AD750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1792"/>
      <w:r>
        <w:rPr>
          <w:rFonts w:hint="eastAsia"/>
          <w:lang w:val="en-US" w:eastAsia="zh-CN"/>
        </w:rPr>
        <w:t>服务可用性管理</w:t>
      </w:r>
      <w:bookmarkEnd w:id="21"/>
    </w:p>
    <w:p w14:paraId="24B7D847">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7138"/>
      <w:r>
        <w:rPr>
          <w:rFonts w:hint="default"/>
          <w:lang w:val="en-US" w:eastAsia="zh-CN"/>
        </w:rPr>
        <w:t>可用性目标管理</w:t>
      </w:r>
      <w:bookmarkEnd w:id="22"/>
    </w:p>
    <w:p w14:paraId="42BB5D0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基于服务级别协议（SLA）和业务需求，为每项关键服务制定明确的可用性目标，通常以百分比形式表示（如99.9%、99.99%）</w:t>
      </w:r>
    </w:p>
    <w:p w14:paraId="2335416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可用性目标应包含相关的时间基准（如月度、季度）和计算方式</w:t>
      </w:r>
    </w:p>
    <w:p w14:paraId="64F2B10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建立可用性目标的审批和变更流程，任何调整需经</w:t>
      </w:r>
      <w:r>
        <w:rPr>
          <w:rFonts w:hint="eastAsia"/>
          <w:lang w:val="en-US" w:eastAsia="zh-CN"/>
        </w:rPr>
        <w:t>运维部部长审批</w:t>
      </w:r>
    </w:p>
    <w:p w14:paraId="556EF5E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9000"/>
      <w:r>
        <w:rPr>
          <w:rFonts w:hint="default"/>
          <w:lang w:val="en-US" w:eastAsia="zh-CN"/>
        </w:rPr>
        <w:t>系统框架管理</w:t>
      </w:r>
      <w:bookmarkEnd w:id="23"/>
    </w:p>
    <w:p w14:paraId="5EA6DF8B">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识别支撑关键业务服务的所有配置项，包括硬件、软件、网络设备等</w:t>
      </w:r>
    </w:p>
    <w:p w14:paraId="4AB2360B">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建立系统框架文档，明确各配置项之间的依赖关系和影响范围</w:t>
      </w:r>
    </w:p>
    <w:p w14:paraId="3E0BDDE8">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定期（至少每季度）更新系统框架，确保其与实际环境保持一致</w:t>
      </w:r>
    </w:p>
    <w:p w14:paraId="7DDF0067">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识别系统中的单点故障，制定相应的冗余或备份方案</w:t>
      </w:r>
    </w:p>
    <w:p w14:paraId="5F2A14D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32648"/>
      <w:r>
        <w:rPr>
          <w:rFonts w:hint="default"/>
          <w:lang w:val="en-US" w:eastAsia="zh-CN"/>
        </w:rPr>
        <w:t>监控与数据收集</w:t>
      </w:r>
      <w:bookmarkEnd w:id="24"/>
    </w:p>
    <w:p w14:paraId="0A490DCE">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建立7×24小时监控机制，覆盖所有关键服务及相关配置项</w:t>
      </w:r>
    </w:p>
    <w:p w14:paraId="0E7072EC">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监控指标应包括但不限于：服务响应时间、吞吐量、错误率、资源利用率等</w:t>
      </w:r>
    </w:p>
    <w:p w14:paraId="71844367">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确保监控数据的准确性和完整性，建立数据质量控制机制</w:t>
      </w:r>
    </w:p>
    <w:p w14:paraId="7AFA52B9">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监控数据应保存至少13个月，以支持趋势分析和容量规划</w:t>
      </w:r>
    </w:p>
    <w:p w14:paraId="55448456">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357"/>
      <w:r>
        <w:rPr>
          <w:rFonts w:hint="default"/>
          <w:lang w:val="en-US" w:eastAsia="zh-CN"/>
        </w:rPr>
        <w:t>可用性分析与改进</w:t>
      </w:r>
      <w:bookmarkEnd w:id="25"/>
    </w:p>
    <w:p w14:paraId="767A2329">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每月编制《服务可用性分析报告》，内容包括：</w:t>
      </w:r>
    </w:p>
    <w:p w14:paraId="11A16703">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各项服务的实际可用性数据与目标对比</w:t>
      </w:r>
    </w:p>
    <w:p w14:paraId="4BD156AB">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服务中断事件的统计和分析</w:t>
      </w:r>
    </w:p>
    <w:p w14:paraId="43A0A495">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趋势分析和预测</w:t>
      </w:r>
    </w:p>
    <w:p w14:paraId="256FA219">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改进建议</w:t>
      </w:r>
    </w:p>
    <w:p w14:paraId="0ED360E3">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对未达到可用性目标的服务进行根本原因分析</w:t>
      </w:r>
    </w:p>
    <w:p w14:paraId="7D7C62B7">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制定并跟踪改进措施的实施，确保问题得到有效解决</w:t>
      </w:r>
    </w:p>
    <w:p w14:paraId="0E97BF7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5207"/>
      <w:r>
        <w:rPr>
          <w:rFonts w:hint="default"/>
          <w:lang w:val="en-US" w:eastAsia="zh-CN"/>
        </w:rPr>
        <w:t>服务连续性管理</w:t>
      </w:r>
      <w:bookmarkEnd w:id="26"/>
    </w:p>
    <w:p w14:paraId="0BFC8AE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4243"/>
      <w:r>
        <w:rPr>
          <w:rFonts w:hint="default"/>
          <w:lang w:val="en-US" w:eastAsia="zh-CN"/>
        </w:rPr>
        <w:t>业务影响分析（BIA）</w:t>
      </w:r>
      <w:bookmarkEnd w:id="27"/>
    </w:p>
    <w:p w14:paraId="7057B3F6">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每年至少进行一次全面的业务影响分析</w:t>
      </w:r>
    </w:p>
    <w:p w14:paraId="6077C1AB">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BIA应涵盖以下内容：</w:t>
      </w:r>
    </w:p>
    <w:p w14:paraId="2127DA33">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识别关键业务服务及其优先级</w:t>
      </w:r>
    </w:p>
    <w:p w14:paraId="1DADF7E8">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评估服务中断对业务的财务和非财务影响</w:t>
      </w:r>
    </w:p>
    <w:p w14:paraId="21F20E49">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确定各项服务的恢复时间目标（RTO）和恢复点目标（RPO）</w:t>
      </w:r>
    </w:p>
    <w:p w14:paraId="531A397F">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识别关键依赖资源（人员、技术、设施等）</w:t>
      </w:r>
    </w:p>
    <w:p w14:paraId="0495F209">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BIA结果需经相关部门确认，并作为连续性计划的基础</w:t>
      </w:r>
    </w:p>
    <w:p w14:paraId="0D0ECE92">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2073"/>
      <w:r>
        <w:rPr>
          <w:rFonts w:hint="default"/>
          <w:lang w:val="en-US" w:eastAsia="zh-CN"/>
        </w:rPr>
        <w:t>连续性策略制定</w:t>
      </w:r>
      <w:bookmarkEnd w:id="28"/>
    </w:p>
    <w:p w14:paraId="0C082CDB">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基于BIA结果，制定相应的风险缓解措施，包括：</w:t>
      </w:r>
    </w:p>
    <w:p w14:paraId="30293218">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预防性措施：防止中断发生</w:t>
      </w:r>
    </w:p>
    <w:p w14:paraId="6AE7E74B">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减轻性措施：降低中断影响</w:t>
      </w:r>
    </w:p>
    <w:p w14:paraId="492AE288">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恢复性措施：确保服务快速恢复</w:t>
      </w:r>
    </w:p>
    <w:p w14:paraId="6C3113D0">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连续性策略应综合考虑成本效益，确保投入与业务影响相匹配</w:t>
      </w:r>
    </w:p>
    <w:p w14:paraId="442CF3A6">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策略需明确备份方案、备用站点、应急资源等关键要素</w:t>
      </w:r>
    </w:p>
    <w:p w14:paraId="59AA3A9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23064"/>
      <w:r>
        <w:rPr>
          <w:rFonts w:hint="default"/>
          <w:lang w:val="en-US" w:eastAsia="zh-CN"/>
        </w:rPr>
        <w:t>连续性计划开发</w:t>
      </w:r>
      <w:bookmarkEnd w:id="29"/>
    </w:p>
    <w:p w14:paraId="0B50826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编制详细的《服务连续性计划》，内容包括：</w:t>
      </w:r>
    </w:p>
    <w:p w14:paraId="5368ADA5">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应急响应流程和通信计划</w:t>
      </w:r>
    </w:p>
    <w:p w14:paraId="582ED8B0">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恢复流程和操作步骤</w:t>
      </w:r>
    </w:p>
    <w:p w14:paraId="24E2E608">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人员职责和授权矩阵</w:t>
      </w:r>
    </w:p>
    <w:p w14:paraId="6350BB84">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所需资源和设备清单</w:t>
      </w:r>
    </w:p>
    <w:p w14:paraId="7FEB6E94">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外部依赖和供应商联系信息</w:t>
      </w:r>
    </w:p>
    <w:p w14:paraId="3A71EADE">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计划应具有可操作性，确保在紧急情况下能够有效执行</w:t>
      </w:r>
    </w:p>
    <w:p w14:paraId="2A81CF59">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建立计划的版本控制和分发机制</w:t>
      </w:r>
    </w:p>
    <w:p w14:paraId="54E36E27">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678"/>
      <w:r>
        <w:rPr>
          <w:rFonts w:hint="default"/>
          <w:lang w:val="en-US" w:eastAsia="zh-CN"/>
        </w:rPr>
        <w:t>演练与测试</w:t>
      </w:r>
      <w:bookmarkEnd w:id="30"/>
    </w:p>
    <w:p w14:paraId="606B3DAB">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制定年度连续性演练计划，覆盖所有关键业务服务</w:t>
      </w:r>
    </w:p>
    <w:p w14:paraId="46BCA9A9">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演练形式应包括：</w:t>
      </w:r>
    </w:p>
    <w:p w14:paraId="313D73BE">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桌面推演：每季度至少一次</w:t>
      </w:r>
    </w:p>
    <w:p w14:paraId="02B23110">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模拟演练：每半年至少一次</w:t>
      </w:r>
    </w:p>
    <w:p w14:paraId="35809F4E">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全面演练：每年至少一次</w:t>
      </w:r>
    </w:p>
    <w:p w14:paraId="79FCF595">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演练后需编制《连续性演练报告》，内容包括：</w:t>
      </w:r>
    </w:p>
    <w:p w14:paraId="6275CC99">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演练过程和结果记录</w:t>
      </w:r>
    </w:p>
    <w:p w14:paraId="2252B99E">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发现的问题和改进建议</w:t>
      </w:r>
    </w:p>
    <w:p w14:paraId="70F48B7F">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计划修订需求</w:t>
      </w:r>
    </w:p>
    <w:p w14:paraId="058CFF08">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演练结果应向管理层汇报，并获得改进措施的批准</w:t>
      </w:r>
    </w:p>
    <w:p w14:paraId="19298E8F">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13137"/>
      <w:r>
        <w:rPr>
          <w:rFonts w:hint="default"/>
          <w:lang w:val="en-US" w:eastAsia="zh-CN"/>
        </w:rPr>
        <w:t>计划维护与更新</w:t>
      </w:r>
      <w:bookmarkEnd w:id="31"/>
    </w:p>
    <w:p w14:paraId="3B97324D">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在以下情况下必须对连续性计划进行评审和更新：</w:t>
      </w:r>
    </w:p>
    <w:p w14:paraId="182ACE03">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业务环境发生重大变化</w:t>
      </w:r>
    </w:p>
    <w:p w14:paraId="10F34818">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组织结构或人员职责调整</w:t>
      </w:r>
    </w:p>
    <w:p w14:paraId="78BE5A15">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技术架构或系统重大变更</w:t>
      </w:r>
    </w:p>
    <w:p w14:paraId="752D033E">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演练或实际事件中发现计划缺陷</w:t>
      </w:r>
    </w:p>
    <w:p w14:paraId="399FB988">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每年定期评审</w:t>
      </w:r>
    </w:p>
    <w:p w14:paraId="26940746">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建立计划变更的控制流程，确保所有修订都经过适当审批</w:t>
      </w:r>
    </w:p>
    <w:p w14:paraId="1196F4F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20606"/>
      <w:r>
        <w:rPr>
          <w:rFonts w:hint="default"/>
          <w:lang w:val="en-US" w:eastAsia="zh-CN"/>
        </w:rPr>
        <w:t>培训与意识培养</w:t>
      </w:r>
      <w:bookmarkEnd w:id="32"/>
    </w:p>
    <w:p w14:paraId="5B002263">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8412"/>
      <w:r>
        <w:rPr>
          <w:rFonts w:hint="default"/>
          <w:lang w:val="en-US" w:eastAsia="zh-CN"/>
        </w:rPr>
        <w:t>定期培训</w:t>
      </w:r>
      <w:bookmarkEnd w:id="33"/>
    </w:p>
    <w:p w14:paraId="61857FCD">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每半年至少组织一次服务可用性与连续性管理培训</w:t>
      </w:r>
    </w:p>
    <w:p w14:paraId="2C5551CA">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培训对象应覆盖所有相关岗位人员</w:t>
      </w:r>
    </w:p>
    <w:p w14:paraId="67E444F5">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培训内容应包括：</w:t>
      </w:r>
    </w:p>
    <w:p w14:paraId="536E8B1A">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服务可用性与连续性的基本概念</w:t>
      </w:r>
    </w:p>
    <w:p w14:paraId="1C14FDF1">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相关流程和操作规程</w:t>
      </w:r>
    </w:p>
    <w:p w14:paraId="757C1695">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应急预案和处置流程</w:t>
      </w:r>
    </w:p>
    <w:p w14:paraId="11D9F70C">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案例分析和经验分享</w:t>
      </w:r>
    </w:p>
    <w:p w14:paraId="50925892">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22467"/>
      <w:r>
        <w:rPr>
          <w:rFonts w:hint="default"/>
          <w:lang w:val="en-US" w:eastAsia="zh-CN"/>
        </w:rPr>
        <w:t>意识培养</w:t>
      </w:r>
      <w:bookmarkEnd w:id="34"/>
    </w:p>
    <w:p w14:paraId="04C51DF9">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通过内部通讯、宣传栏等多种形式，提高全员的服务可用性与连续性意识</w:t>
      </w:r>
    </w:p>
    <w:p w14:paraId="2E757FDF">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定期组织经验交流活动，分享最佳实践和教训</w:t>
      </w:r>
    </w:p>
    <w:p w14:paraId="2AD858ED">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将服务可用性与连续性要求纳入员工绩效考核</w:t>
      </w:r>
    </w:p>
    <w:p w14:paraId="04653603">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_Toc7156"/>
      <w:r>
        <w:rPr>
          <w:rFonts w:hint="default"/>
          <w:lang w:val="en-US" w:eastAsia="zh-CN"/>
        </w:rPr>
        <w:t>关键控制点与测量指标</w:t>
      </w:r>
      <w:bookmarkEnd w:id="35"/>
    </w:p>
    <w:p w14:paraId="67737E9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12770"/>
      <w:r>
        <w:rPr>
          <w:rFonts w:hint="default"/>
          <w:lang w:val="en-US" w:eastAsia="zh-CN"/>
        </w:rPr>
        <w:t>关键控制点</w:t>
      </w:r>
      <w:bookmarkEnd w:id="36"/>
    </w:p>
    <w:p w14:paraId="437702E0">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所有关键业务服务必须建立明确的可用性目标，并定期监控和报告达成情况</w:t>
      </w:r>
    </w:p>
    <w:p w14:paraId="7C6B6403">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业务影响分析（BIA）必须定期执行，结果需经相关业务部门确认</w:t>
      </w:r>
    </w:p>
    <w:p w14:paraId="15335D5C">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服务连续性计划必须定期演练，演练结果必须用于计划的持续改进</w:t>
      </w:r>
    </w:p>
    <w:p w14:paraId="439D7674">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所有重大变更必须进行可用性与连续性影响评估</w:t>
      </w:r>
    </w:p>
    <w:p w14:paraId="06DC9FAA">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连续性计划的维护更新必须建立规范的变更控制流程</w:t>
      </w:r>
    </w:p>
    <w:p w14:paraId="0B361867">
      <w:pPr>
        <w:pStyle w:val="31"/>
        <w:bidi w:val="0"/>
        <w:rPr>
          <w:rFonts w:hint="default"/>
          <w:lang w:val="en-US" w:eastAsia="zh-CN"/>
        </w:rPr>
      </w:pPr>
      <w:bookmarkStart w:id="37" w:name="_Toc12554"/>
      <w:r>
        <w:rPr>
          <w:rFonts w:hint="default"/>
          <w:lang w:val="en-US" w:eastAsia="zh-CN"/>
        </w:rPr>
        <w:t>指标监控与改进</w:t>
      </w:r>
      <w:bookmarkEnd w:id="37"/>
    </w:p>
    <w:p w14:paraId="12D9DBE0">
      <w:pPr>
        <w:pStyle w:val="29"/>
        <w:keepNext w:val="0"/>
        <w:keepLines w:val="0"/>
        <w:pageBreakBefore w:val="0"/>
        <w:widowControl w:val="0"/>
        <w:numPr>
          <w:ilvl w:val="0"/>
          <w:numId w:val="27"/>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每月对指标数据进行统计分析，识别趋势和异常</w:t>
      </w:r>
    </w:p>
    <w:p w14:paraId="6524853E">
      <w:pPr>
        <w:pStyle w:val="29"/>
        <w:keepNext w:val="0"/>
        <w:keepLines w:val="0"/>
        <w:pageBreakBefore w:val="0"/>
        <w:widowControl w:val="0"/>
        <w:numPr>
          <w:ilvl w:val="0"/>
          <w:numId w:val="27"/>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对未达标的指标进行根本原因分析，制定改进措施</w:t>
      </w:r>
    </w:p>
    <w:p w14:paraId="4B5179D3">
      <w:pPr>
        <w:pStyle w:val="29"/>
        <w:keepNext w:val="0"/>
        <w:keepLines w:val="0"/>
        <w:pageBreakBefore w:val="0"/>
        <w:widowControl w:val="0"/>
        <w:numPr>
          <w:ilvl w:val="0"/>
          <w:numId w:val="27"/>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改进措施应明确责任人、时间表和预期效果</w:t>
      </w:r>
    </w:p>
    <w:p w14:paraId="489BDE9E">
      <w:pPr>
        <w:pStyle w:val="29"/>
        <w:keepNext w:val="0"/>
        <w:keepLines w:val="0"/>
        <w:pageBreakBefore w:val="0"/>
        <w:widowControl w:val="0"/>
        <w:numPr>
          <w:ilvl w:val="0"/>
          <w:numId w:val="27"/>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定期向管理层报告指标达成情况和改进进展</w:t>
      </w:r>
    </w:p>
    <w:p w14:paraId="1C9D5B67">
      <w:pPr>
        <w:pStyle w:val="31"/>
        <w:bidi w:val="0"/>
        <w:rPr>
          <w:rFonts w:hint="default"/>
          <w:lang w:val="en-US" w:eastAsia="zh-CN"/>
        </w:rPr>
      </w:pPr>
      <w:bookmarkStart w:id="38" w:name="_Toc30571"/>
      <w:r>
        <w:rPr>
          <w:rFonts w:hint="eastAsia"/>
          <w:lang w:val="en-US" w:eastAsia="zh-CN"/>
        </w:rPr>
        <w:t>过程测量指标</w:t>
      </w:r>
      <w:bookmarkEnd w:id="38"/>
    </w:p>
    <w:p w14:paraId="2351121C">
      <w:pPr>
        <w:pStyle w:val="29"/>
        <w:rPr>
          <w:rFonts w:hint="eastAsia"/>
          <w:lang w:val="en-US" w:eastAsia="zh-CN"/>
        </w:rPr>
      </w:pPr>
      <w:r>
        <w:rPr>
          <w:rFonts w:hint="eastAsia"/>
          <w:lang w:val="en-US" w:eastAsia="zh-CN"/>
        </w:rPr>
        <w:t>服务可用性和连续性测量指标如表4-1所示</w:t>
      </w:r>
    </w:p>
    <w:p w14:paraId="4DAC475B">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1820"/>
        <w:gridCol w:w="3492"/>
        <w:gridCol w:w="1081"/>
        <w:gridCol w:w="1078"/>
      </w:tblGrid>
      <w:tr w14:paraId="5B91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1" w:type="dxa"/>
          </w:tcPr>
          <w:p w14:paraId="58A8869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874" w:type="dxa"/>
          </w:tcPr>
          <w:p w14:paraId="6AD2A07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602" w:type="dxa"/>
          </w:tcPr>
          <w:p w14:paraId="3CA2AE5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6DF6D4E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6A66150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252B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593A8AB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874" w:type="dxa"/>
          </w:tcPr>
          <w:p w14:paraId="261E96A7">
            <w:pPr>
              <w:pStyle w:val="29"/>
              <w:widowControl w:val="0"/>
              <w:ind w:left="0" w:leftChars="0" w:firstLine="0" w:firstLineChars="0"/>
              <w:jc w:val="left"/>
              <w:rPr>
                <w:rFonts w:hint="default" w:eastAsia="宋体"/>
                <w:sz w:val="21"/>
                <w:szCs w:val="21"/>
                <w:vertAlign w:val="baseline"/>
                <w:lang w:val="en-US" w:eastAsia="zh-CN"/>
              </w:rPr>
            </w:pPr>
            <w:r>
              <w:rPr>
                <w:rFonts w:hint="eastAsia" w:ascii="Segoe UI" w:hAnsi="Segoe UI" w:eastAsia="Segoe UI" w:cs="Segoe UI"/>
                <w:i w:val="0"/>
                <w:iCs w:val="0"/>
                <w:caps w:val="0"/>
                <w:color w:val="0F1115"/>
                <w:spacing w:val="0"/>
                <w:sz w:val="19"/>
                <w:szCs w:val="19"/>
                <w:shd w:val="clear" w:color="auto" w:fill="FFFFFF"/>
                <w:lang w:val="en-US" w:eastAsia="zh-CN"/>
              </w:rPr>
              <w:t>关键服务可用率</w:t>
            </w:r>
          </w:p>
        </w:tc>
        <w:tc>
          <w:tcPr>
            <w:tcW w:w="3602" w:type="dxa"/>
          </w:tcPr>
          <w:p w14:paraId="6E2083E7">
            <w:pPr>
              <w:pStyle w:val="29"/>
              <w:widowControl w:val="0"/>
              <w:ind w:left="0" w:leftChars="0" w:firstLine="0" w:firstLineChars="0"/>
              <w:jc w:val="left"/>
              <w:rPr>
                <w:rFonts w:hint="default"/>
                <w:sz w:val="21"/>
                <w:szCs w:val="21"/>
                <w:vertAlign w:val="baseline"/>
                <w:lang w:val="en-US" w:eastAsia="zh-CN"/>
              </w:rPr>
            </w:pPr>
            <w:r>
              <w:rPr>
                <w:rFonts w:hint="eastAsia" w:ascii="Segoe UI" w:hAnsi="Segoe UI" w:eastAsia="Segoe UI" w:cs="Segoe UI"/>
                <w:i w:val="0"/>
                <w:iCs w:val="0"/>
                <w:caps w:val="0"/>
                <w:color w:val="0F1115"/>
                <w:spacing w:val="0"/>
                <w:sz w:val="19"/>
                <w:szCs w:val="19"/>
                <w:shd w:val="clear" w:color="auto" w:fill="FFFFFF"/>
                <w:lang w:val="en-US" w:eastAsia="zh-CN"/>
              </w:rPr>
              <w:t>(服务约定运行时间 - 服务不可用时间) / 服务约定运行时间 × 100%</w:t>
            </w:r>
          </w:p>
        </w:tc>
        <w:tc>
          <w:tcPr>
            <w:tcW w:w="1107" w:type="dxa"/>
          </w:tcPr>
          <w:p w14:paraId="57C71A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0EE699E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≥99%</w:t>
            </w:r>
          </w:p>
        </w:tc>
      </w:tr>
      <w:tr w14:paraId="3178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7611106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1874" w:type="dxa"/>
          </w:tcPr>
          <w:p w14:paraId="09E73F2B">
            <w:pPr>
              <w:pStyle w:val="29"/>
              <w:widowControl w:val="0"/>
              <w:ind w:left="0" w:leftChars="0" w:firstLine="0" w:firstLineChars="0"/>
              <w:jc w:val="left"/>
              <w:rPr>
                <w:rFonts w:hint="eastAsia" w:ascii="Segoe UI" w:hAnsi="Segoe UI" w:eastAsia="Segoe UI" w:cs="Segoe UI"/>
                <w:i w:val="0"/>
                <w:iCs w:val="0"/>
                <w:caps w:val="0"/>
                <w:color w:val="0F1115"/>
                <w:spacing w:val="0"/>
                <w:sz w:val="19"/>
                <w:szCs w:val="19"/>
                <w:shd w:val="clear" w:color="auto" w:fill="FFFFFF"/>
                <w:lang w:val="en-US" w:eastAsia="zh-CN"/>
              </w:rPr>
            </w:pPr>
            <w:r>
              <w:rPr>
                <w:rFonts w:hint="eastAsia" w:ascii="Segoe UI" w:hAnsi="Segoe UI" w:eastAsia="Segoe UI" w:cs="Segoe UI"/>
                <w:i w:val="0"/>
                <w:iCs w:val="0"/>
                <w:caps w:val="0"/>
                <w:color w:val="0F1115"/>
                <w:spacing w:val="0"/>
                <w:sz w:val="19"/>
                <w:szCs w:val="19"/>
                <w:shd w:val="clear" w:color="auto" w:fill="FFFFFF"/>
                <w:lang w:val="en-US" w:eastAsia="zh-CN"/>
              </w:rPr>
              <w:t>服务中断事件数量</w:t>
            </w:r>
          </w:p>
        </w:tc>
        <w:tc>
          <w:tcPr>
            <w:tcW w:w="3602" w:type="dxa"/>
          </w:tcPr>
          <w:p w14:paraId="1FE09DF2">
            <w:pPr>
              <w:pStyle w:val="29"/>
              <w:widowControl w:val="0"/>
              <w:ind w:left="0" w:leftChars="0" w:firstLine="0" w:firstLineChars="0"/>
              <w:jc w:val="left"/>
              <w:rPr>
                <w:rFonts w:hint="eastAsia" w:ascii="Segoe UI" w:hAnsi="Segoe UI" w:eastAsia="Segoe UI" w:cs="Segoe UI"/>
                <w:i w:val="0"/>
                <w:iCs w:val="0"/>
                <w:caps w:val="0"/>
                <w:color w:val="0F1115"/>
                <w:spacing w:val="0"/>
                <w:sz w:val="19"/>
                <w:szCs w:val="19"/>
                <w:shd w:val="clear" w:color="auto" w:fill="FFFFFF"/>
                <w:lang w:val="en-US" w:eastAsia="zh-CN"/>
              </w:rPr>
            </w:pPr>
            <w:r>
              <w:rPr>
                <w:rFonts w:ascii="Segoe UI" w:hAnsi="Segoe UI" w:eastAsia="Segoe UI" w:cs="Segoe UI"/>
                <w:i w:val="0"/>
                <w:iCs w:val="0"/>
                <w:caps w:val="0"/>
                <w:color w:val="0F1115"/>
                <w:spacing w:val="0"/>
                <w:sz w:val="18"/>
                <w:szCs w:val="18"/>
                <w:shd w:val="clear" w:color="auto" w:fill="FFFFFF"/>
              </w:rPr>
              <w:t>统计期内导致服务不可用的事件发生次数</w:t>
            </w:r>
          </w:p>
        </w:tc>
        <w:tc>
          <w:tcPr>
            <w:tcW w:w="1107" w:type="dxa"/>
          </w:tcPr>
          <w:p w14:paraId="3F2E144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7ADC95B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微软雅黑" w:hAnsi="微软雅黑" w:eastAsia="微软雅黑" w:cs="微软雅黑"/>
                <w:sz w:val="21"/>
                <w:szCs w:val="21"/>
                <w:vertAlign w:val="baseline"/>
                <w:lang w:val="en-US" w:eastAsia="zh-CN"/>
              </w:rPr>
            </w:pPr>
            <w:r>
              <w:rPr>
                <w:rFonts w:ascii="Segoe UI" w:hAnsi="Segoe UI" w:eastAsia="Segoe UI" w:cs="Segoe UI"/>
                <w:i w:val="0"/>
                <w:iCs w:val="0"/>
                <w:caps w:val="0"/>
                <w:color w:val="0F1115"/>
                <w:spacing w:val="0"/>
                <w:sz w:val="18"/>
                <w:szCs w:val="18"/>
                <w:shd w:val="clear" w:color="auto" w:fill="FFFFFF"/>
              </w:rPr>
              <w:t>≤</w:t>
            </w:r>
            <w:r>
              <w:rPr>
                <w:rFonts w:hint="eastAsia" w:ascii="Segoe UI" w:hAnsi="Segoe UI" w:eastAsia="宋体" w:cs="Segoe UI"/>
                <w:i w:val="0"/>
                <w:iCs w:val="0"/>
                <w:caps w:val="0"/>
                <w:color w:val="0F1115"/>
                <w:spacing w:val="0"/>
                <w:sz w:val="18"/>
                <w:szCs w:val="18"/>
                <w:shd w:val="clear" w:color="auto" w:fill="FFFFFF"/>
                <w:lang w:val="en-US" w:eastAsia="zh-CN"/>
              </w:rPr>
              <w:t>1</w:t>
            </w:r>
            <w:r>
              <w:rPr>
                <w:rFonts w:ascii="Segoe UI" w:hAnsi="Segoe UI" w:eastAsia="Segoe UI" w:cs="Segoe UI"/>
                <w:i w:val="0"/>
                <w:iCs w:val="0"/>
                <w:caps w:val="0"/>
                <w:color w:val="0F1115"/>
                <w:spacing w:val="0"/>
                <w:sz w:val="18"/>
                <w:szCs w:val="18"/>
                <w:shd w:val="clear" w:color="auto" w:fill="FFFFFF"/>
              </w:rPr>
              <w:t>次</w:t>
            </w:r>
          </w:p>
        </w:tc>
      </w:tr>
    </w:tbl>
    <w:p w14:paraId="37BC6138">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9" w:name="bookmark3"/>
      <w:bookmarkEnd w:id="39"/>
      <w:bookmarkStart w:id="40" w:name="_Toc17424"/>
      <w:bookmarkStart w:id="41" w:name="_Toc1193"/>
      <w:r>
        <w:rPr>
          <w:rStyle w:val="38"/>
          <w:rFonts w:hint="eastAsia" w:eastAsia="宋体"/>
          <w:lang w:val="en-US" w:eastAsia="zh-CN"/>
        </w:rPr>
        <w:t>附则</w:t>
      </w:r>
      <w:bookmarkEnd w:id="40"/>
      <w:bookmarkEnd w:id="41"/>
    </w:p>
    <w:p w14:paraId="4FAAF59F">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bookmarkStart w:id="45" w:name="_GoBack"/>
      <w:bookmarkEnd w:id="45"/>
      <w:r>
        <w:rPr>
          <w:rFonts w:ascii="宋体" w:hAnsi="宋体" w:eastAsia="宋体" w:cs="宋体"/>
          <w:spacing w:val="-1"/>
          <w:sz w:val="24"/>
          <w:szCs w:val="24"/>
        </w:rPr>
        <w:t>部。</w:t>
      </w:r>
    </w:p>
    <w:p w14:paraId="37D45D42">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307AEBD">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2" w:name="bookmark14"/>
      <w:bookmarkEnd w:id="42"/>
      <w:bookmarkStart w:id="43" w:name="_Toc30716"/>
      <w:r>
        <w:rPr>
          <w:rFonts w:hint="eastAsia"/>
          <w:lang w:val="en-US" w:eastAsia="zh-CN"/>
        </w:rPr>
        <w:t>附件</w:t>
      </w:r>
      <w:bookmarkEnd w:id="43"/>
    </w:p>
    <w:p w14:paraId="500AF7D0">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4" w:name="_Toc22607"/>
      <w:r>
        <w:rPr>
          <w:rFonts w:hint="eastAsia"/>
          <w:lang w:val="en-US" w:eastAsia="zh-CN"/>
        </w:rPr>
        <w:t>记录</w:t>
      </w:r>
      <w:bookmarkEnd w:id="44"/>
    </w:p>
    <w:p w14:paraId="2E0702B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7" w:type="first"/>
      <w:footerReference r:id="rId10" w:type="first"/>
      <w:headerReference r:id="rId5" w:type="default"/>
      <w:footerReference r:id="rId8" w:type="default"/>
      <w:headerReference r:id="rId6" w:type="even"/>
      <w:footerReference r:id="rId9" w:type="even"/>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8719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F5AC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8D00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36D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重庆市鹧鸪哨信息技术有限责任公司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8B2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FFC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6BC0D"/>
    <w:multiLevelType w:val="singleLevel"/>
    <w:tmpl w:val="8886BC0D"/>
    <w:lvl w:ilvl="0" w:tentative="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775B85"/>
    <w:multiLevelType w:val="singleLevel"/>
    <w:tmpl w:val="8F775B85"/>
    <w:lvl w:ilvl="0" w:tentative="0">
      <w:start w:val="1"/>
      <w:numFmt w:val="decimal"/>
      <w:lvlText w:val="%1."/>
      <w:lvlJc w:val="left"/>
      <w:pPr>
        <w:ind w:left="425" w:hanging="425"/>
      </w:pPr>
      <w:rPr>
        <w:rFonts w:hint="default"/>
      </w:rPr>
    </w:lvl>
  </w:abstractNum>
  <w:abstractNum w:abstractNumId="3">
    <w:nsid w:val="9B893E50"/>
    <w:multiLevelType w:val="singleLevel"/>
    <w:tmpl w:val="9B893E50"/>
    <w:lvl w:ilvl="0" w:tentative="0">
      <w:start w:val="1"/>
      <w:numFmt w:val="decimal"/>
      <w:lvlText w:val="%1."/>
      <w:lvlJc w:val="left"/>
      <w:pPr>
        <w:ind w:left="425" w:hanging="425"/>
      </w:pPr>
      <w:rPr>
        <w:rFonts w:hint="default"/>
      </w:rPr>
    </w:lvl>
  </w:abstractNum>
  <w:abstractNum w:abstractNumId="4">
    <w:nsid w:val="9D3EBC90"/>
    <w:multiLevelType w:val="singleLevel"/>
    <w:tmpl w:val="9D3EBC90"/>
    <w:lvl w:ilvl="0" w:tentative="0">
      <w:start w:val="1"/>
      <w:numFmt w:val="decimal"/>
      <w:lvlText w:val="(%1)"/>
      <w:lvlJc w:val="left"/>
      <w:pPr>
        <w:tabs>
          <w:tab w:val="left" w:pos="420"/>
        </w:tabs>
        <w:ind w:left="845" w:hanging="425"/>
      </w:pPr>
      <w:rPr>
        <w:rFonts w:hint="default"/>
      </w:rPr>
    </w:lvl>
  </w:abstractNum>
  <w:abstractNum w:abstractNumId="5">
    <w:nsid w:val="A1F41FA0"/>
    <w:multiLevelType w:val="singleLevel"/>
    <w:tmpl w:val="A1F41FA0"/>
    <w:lvl w:ilvl="0" w:tentative="0">
      <w:start w:val="1"/>
      <w:numFmt w:val="decimal"/>
      <w:lvlText w:val="(%1)"/>
      <w:lvlJc w:val="left"/>
      <w:pPr>
        <w:tabs>
          <w:tab w:val="left" w:pos="420"/>
        </w:tabs>
        <w:ind w:left="845" w:hanging="425"/>
      </w:pPr>
      <w:rPr>
        <w:rFonts w:hint="default"/>
      </w:rPr>
    </w:lvl>
  </w:abstractNum>
  <w:abstractNum w:abstractNumId="6">
    <w:nsid w:val="A4765F0D"/>
    <w:multiLevelType w:val="singleLevel"/>
    <w:tmpl w:val="A4765F0D"/>
    <w:lvl w:ilvl="0" w:tentative="0">
      <w:start w:val="1"/>
      <w:numFmt w:val="decimal"/>
      <w:lvlText w:val="%1."/>
      <w:lvlJc w:val="left"/>
      <w:pPr>
        <w:ind w:left="425" w:hanging="425"/>
      </w:pPr>
      <w:rPr>
        <w:rFonts w:hint="default"/>
      </w:rPr>
    </w:lvl>
  </w:abstractNum>
  <w:abstractNum w:abstractNumId="7">
    <w:nsid w:val="A56C2F11"/>
    <w:multiLevelType w:val="singleLevel"/>
    <w:tmpl w:val="A56C2F11"/>
    <w:lvl w:ilvl="0" w:tentative="0">
      <w:start w:val="1"/>
      <w:numFmt w:val="decimal"/>
      <w:lvlText w:val="(%1)"/>
      <w:lvlJc w:val="left"/>
      <w:pPr>
        <w:tabs>
          <w:tab w:val="left" w:pos="420"/>
        </w:tabs>
        <w:ind w:left="845" w:hanging="425"/>
      </w:pPr>
      <w:rPr>
        <w:rFonts w:hint="default"/>
      </w:rPr>
    </w:lvl>
  </w:abstractNum>
  <w:abstractNum w:abstractNumId="8">
    <w:nsid w:val="A690AE1D"/>
    <w:multiLevelType w:val="singleLevel"/>
    <w:tmpl w:val="A690AE1D"/>
    <w:lvl w:ilvl="0" w:tentative="0">
      <w:start w:val="1"/>
      <w:numFmt w:val="decimal"/>
      <w:lvlText w:val="%1."/>
      <w:lvlJc w:val="left"/>
      <w:pPr>
        <w:ind w:left="425" w:hanging="425"/>
      </w:pPr>
      <w:rPr>
        <w:rFonts w:hint="default"/>
      </w:rPr>
    </w:lvl>
  </w:abstractNum>
  <w:abstractNum w:abstractNumId="9">
    <w:nsid w:val="A785F193"/>
    <w:multiLevelType w:val="singleLevel"/>
    <w:tmpl w:val="A785F193"/>
    <w:lvl w:ilvl="0" w:tentative="0">
      <w:start w:val="1"/>
      <w:numFmt w:val="decimal"/>
      <w:lvlText w:val="%1."/>
      <w:lvlJc w:val="left"/>
      <w:pPr>
        <w:ind w:left="425" w:hanging="425"/>
      </w:pPr>
      <w:rPr>
        <w:rFonts w:hint="default"/>
      </w:rPr>
    </w:lvl>
  </w:abstractNum>
  <w:abstractNum w:abstractNumId="10">
    <w:nsid w:val="B7060A27"/>
    <w:multiLevelType w:val="singleLevel"/>
    <w:tmpl w:val="B7060A27"/>
    <w:lvl w:ilvl="0" w:tentative="0">
      <w:start w:val="1"/>
      <w:numFmt w:val="decimal"/>
      <w:lvlText w:val="%1."/>
      <w:lvlJc w:val="left"/>
      <w:pPr>
        <w:ind w:left="425" w:hanging="425"/>
      </w:pPr>
      <w:rPr>
        <w:rFonts w:hint="default"/>
      </w:rPr>
    </w:lvl>
  </w:abstractNum>
  <w:abstractNum w:abstractNumId="11">
    <w:nsid w:val="BA054120"/>
    <w:multiLevelType w:val="singleLevel"/>
    <w:tmpl w:val="BA054120"/>
    <w:lvl w:ilvl="0" w:tentative="0">
      <w:start w:val="1"/>
      <w:numFmt w:val="decimal"/>
      <w:lvlText w:val="%1."/>
      <w:lvlJc w:val="left"/>
      <w:pPr>
        <w:ind w:left="425" w:hanging="425"/>
      </w:pPr>
      <w:rPr>
        <w:rFonts w:hint="default"/>
      </w:rPr>
    </w:lvl>
  </w:abstractNum>
  <w:abstractNum w:abstractNumId="12">
    <w:nsid w:val="C9BFB0F4"/>
    <w:multiLevelType w:val="singleLevel"/>
    <w:tmpl w:val="C9BFB0F4"/>
    <w:lvl w:ilvl="0" w:tentative="0">
      <w:start w:val="1"/>
      <w:numFmt w:val="decimal"/>
      <w:lvlText w:val="(%1)"/>
      <w:lvlJc w:val="left"/>
      <w:pPr>
        <w:ind w:left="425" w:hanging="425"/>
      </w:pPr>
      <w:rPr>
        <w:rFonts w:hint="default"/>
      </w:rPr>
    </w:lvl>
  </w:abstractNum>
  <w:abstractNum w:abstractNumId="13">
    <w:nsid w:val="CD5B835A"/>
    <w:multiLevelType w:val="singleLevel"/>
    <w:tmpl w:val="CD5B835A"/>
    <w:lvl w:ilvl="0" w:tentative="0">
      <w:start w:val="1"/>
      <w:numFmt w:val="decimal"/>
      <w:lvlText w:val="%1."/>
      <w:lvlJc w:val="left"/>
      <w:pPr>
        <w:ind w:left="425" w:hanging="425"/>
      </w:pPr>
      <w:rPr>
        <w:rFonts w:hint="default"/>
      </w:rPr>
    </w:lvl>
  </w:abstractNum>
  <w:abstractNum w:abstractNumId="14">
    <w:nsid w:val="D092D5FB"/>
    <w:multiLevelType w:val="singleLevel"/>
    <w:tmpl w:val="D092D5FB"/>
    <w:lvl w:ilvl="0" w:tentative="0">
      <w:start w:val="1"/>
      <w:numFmt w:val="decimal"/>
      <w:lvlText w:val="%1."/>
      <w:lvlJc w:val="left"/>
      <w:pPr>
        <w:ind w:left="425" w:hanging="425"/>
      </w:pPr>
      <w:rPr>
        <w:rFonts w:hint="default"/>
      </w:rPr>
    </w:lvl>
  </w:abstractNum>
  <w:abstractNum w:abstractNumId="15">
    <w:nsid w:val="E4D03AA4"/>
    <w:multiLevelType w:val="singleLevel"/>
    <w:tmpl w:val="E4D03AA4"/>
    <w:lvl w:ilvl="0" w:tentative="0">
      <w:start w:val="1"/>
      <w:numFmt w:val="decimal"/>
      <w:lvlText w:val="%1."/>
      <w:lvlJc w:val="left"/>
      <w:pPr>
        <w:ind w:left="425" w:hanging="425"/>
      </w:pPr>
      <w:rPr>
        <w:rFonts w:hint="default"/>
      </w:rPr>
    </w:lvl>
  </w:abstractNum>
  <w:abstractNum w:abstractNumId="16">
    <w:nsid w:val="F4663B23"/>
    <w:multiLevelType w:val="singleLevel"/>
    <w:tmpl w:val="F4663B23"/>
    <w:lvl w:ilvl="0" w:tentative="0">
      <w:start w:val="1"/>
      <w:numFmt w:val="decimal"/>
      <w:lvlText w:val="(%1)"/>
      <w:lvlJc w:val="left"/>
      <w:pPr>
        <w:tabs>
          <w:tab w:val="left" w:pos="420"/>
        </w:tabs>
        <w:ind w:left="845" w:hanging="425"/>
      </w:pPr>
      <w:rPr>
        <w:rFonts w:hint="default"/>
      </w:rPr>
    </w:lvl>
  </w:abstractNum>
  <w:abstractNum w:abstractNumId="17">
    <w:nsid w:val="F9539CF3"/>
    <w:multiLevelType w:val="singleLevel"/>
    <w:tmpl w:val="F9539CF3"/>
    <w:lvl w:ilvl="0" w:tentative="0">
      <w:start w:val="1"/>
      <w:numFmt w:val="decimal"/>
      <w:lvlText w:val="%1."/>
      <w:lvlJc w:val="left"/>
      <w:pPr>
        <w:ind w:left="425" w:hanging="425"/>
      </w:pPr>
      <w:rPr>
        <w:rFonts w:hint="default"/>
      </w:rPr>
    </w:lvl>
  </w:abstractNum>
  <w:abstractNum w:abstractNumId="18">
    <w:nsid w:val="051D2CC1"/>
    <w:multiLevelType w:val="singleLevel"/>
    <w:tmpl w:val="051D2CC1"/>
    <w:lvl w:ilvl="0" w:tentative="0">
      <w:start w:val="1"/>
      <w:numFmt w:val="decimal"/>
      <w:lvlText w:val="%1."/>
      <w:lvlJc w:val="left"/>
      <w:pPr>
        <w:ind w:left="425" w:hanging="425"/>
      </w:pPr>
      <w:rPr>
        <w:rFonts w:hint="default"/>
      </w:rPr>
    </w:lvl>
  </w:abstractNum>
  <w:abstractNum w:abstractNumId="19">
    <w:nsid w:val="236B5546"/>
    <w:multiLevelType w:val="singleLevel"/>
    <w:tmpl w:val="236B5546"/>
    <w:lvl w:ilvl="0" w:tentative="0">
      <w:start w:val="1"/>
      <w:numFmt w:val="decimal"/>
      <w:lvlText w:val="%1."/>
      <w:lvlJc w:val="left"/>
      <w:pPr>
        <w:ind w:left="425" w:hanging="425"/>
      </w:pPr>
      <w:rPr>
        <w:rFonts w:hint="default"/>
      </w:rPr>
    </w:lvl>
  </w:abstractNum>
  <w:abstractNum w:abstractNumId="20">
    <w:nsid w:val="247B630F"/>
    <w:multiLevelType w:val="singleLevel"/>
    <w:tmpl w:val="247B630F"/>
    <w:lvl w:ilvl="0" w:tentative="0">
      <w:start w:val="1"/>
      <w:numFmt w:val="decimal"/>
      <w:lvlText w:val="%1."/>
      <w:lvlJc w:val="left"/>
      <w:pPr>
        <w:ind w:left="425" w:hanging="425"/>
      </w:pPr>
      <w:rPr>
        <w:rFonts w:hint="default"/>
      </w:rPr>
    </w:lvl>
  </w:abstractNum>
  <w:abstractNum w:abstractNumId="21">
    <w:nsid w:val="454B5F9F"/>
    <w:multiLevelType w:val="singleLevel"/>
    <w:tmpl w:val="454B5F9F"/>
    <w:lvl w:ilvl="0" w:tentative="0">
      <w:start w:val="1"/>
      <w:numFmt w:val="decimal"/>
      <w:lvlText w:val="%1."/>
      <w:lvlJc w:val="left"/>
      <w:pPr>
        <w:ind w:left="425" w:hanging="425"/>
      </w:pPr>
      <w:rPr>
        <w:rFonts w:hint="default"/>
      </w:rPr>
    </w:lvl>
  </w:abstractNum>
  <w:abstractNum w:abstractNumId="22">
    <w:nsid w:val="58D3A087"/>
    <w:multiLevelType w:val="singleLevel"/>
    <w:tmpl w:val="58D3A087"/>
    <w:lvl w:ilvl="0" w:tentative="0">
      <w:start w:val="1"/>
      <w:numFmt w:val="decimal"/>
      <w:lvlText w:val="%1."/>
      <w:lvlJc w:val="left"/>
      <w:pPr>
        <w:ind w:left="425" w:hanging="425"/>
      </w:pPr>
      <w:rPr>
        <w:rFonts w:hint="default"/>
      </w:rPr>
    </w:lvl>
  </w:abstractNum>
  <w:abstractNum w:abstractNumId="23">
    <w:nsid w:val="5A262505"/>
    <w:multiLevelType w:val="singleLevel"/>
    <w:tmpl w:val="5A262505"/>
    <w:lvl w:ilvl="0" w:tentative="0">
      <w:start w:val="1"/>
      <w:numFmt w:val="decimal"/>
      <w:lvlText w:val="(%1)"/>
      <w:lvlJc w:val="left"/>
      <w:pPr>
        <w:tabs>
          <w:tab w:val="left" w:pos="420"/>
        </w:tabs>
        <w:ind w:left="845" w:hanging="425"/>
      </w:pPr>
      <w:rPr>
        <w:rFonts w:hint="default"/>
      </w:rPr>
    </w:lvl>
  </w:abstractNum>
  <w:abstractNum w:abstractNumId="24">
    <w:nsid w:val="5B3DEA92"/>
    <w:multiLevelType w:val="singleLevel"/>
    <w:tmpl w:val="5B3DEA92"/>
    <w:lvl w:ilvl="0" w:tentative="0">
      <w:start w:val="1"/>
      <w:numFmt w:val="decimal"/>
      <w:lvlText w:val="(%1)"/>
      <w:lvlJc w:val="left"/>
      <w:pPr>
        <w:tabs>
          <w:tab w:val="left" w:pos="420"/>
        </w:tabs>
        <w:ind w:left="845" w:hanging="425"/>
      </w:pPr>
      <w:rPr>
        <w:rFonts w:hint="default"/>
      </w:rPr>
    </w:lvl>
  </w:abstractNum>
  <w:abstractNum w:abstractNumId="25">
    <w:nsid w:val="5F5071D4"/>
    <w:multiLevelType w:val="singleLevel"/>
    <w:tmpl w:val="5F5071D4"/>
    <w:lvl w:ilvl="0" w:tentative="0">
      <w:start w:val="1"/>
      <w:numFmt w:val="decimal"/>
      <w:lvlText w:val="%1."/>
      <w:lvlJc w:val="left"/>
      <w:pPr>
        <w:ind w:left="425" w:hanging="425"/>
      </w:pPr>
      <w:rPr>
        <w:rFonts w:hint="default"/>
      </w:rPr>
    </w:lvl>
  </w:abstractNum>
  <w:abstractNum w:abstractNumId="26">
    <w:nsid w:val="70272A2B"/>
    <w:multiLevelType w:val="singleLevel"/>
    <w:tmpl w:val="70272A2B"/>
    <w:lvl w:ilvl="0" w:tentative="0">
      <w:start w:val="1"/>
      <w:numFmt w:val="decimal"/>
      <w:lvlText w:val="%1."/>
      <w:lvlJc w:val="left"/>
      <w:pPr>
        <w:ind w:left="425" w:hanging="425"/>
      </w:pPr>
      <w:rPr>
        <w:rFonts w:hint="default"/>
      </w:rPr>
    </w:lvl>
  </w:abstractNum>
  <w:abstractNum w:abstractNumId="27">
    <w:nsid w:val="7DFA36E5"/>
    <w:multiLevelType w:val="singleLevel"/>
    <w:tmpl w:val="7DFA36E5"/>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26"/>
  </w:num>
  <w:num w:numId="4">
    <w:abstractNumId w:val="6"/>
  </w:num>
  <w:num w:numId="5">
    <w:abstractNumId w:val="9"/>
  </w:num>
  <w:num w:numId="6">
    <w:abstractNumId w:val="2"/>
  </w:num>
  <w:num w:numId="7">
    <w:abstractNumId w:val="15"/>
  </w:num>
  <w:num w:numId="8">
    <w:abstractNumId w:val="10"/>
  </w:num>
  <w:num w:numId="9">
    <w:abstractNumId w:val="22"/>
  </w:num>
  <w:num w:numId="10">
    <w:abstractNumId w:val="25"/>
  </w:num>
  <w:num w:numId="11">
    <w:abstractNumId w:val="5"/>
  </w:num>
  <w:num w:numId="12">
    <w:abstractNumId w:val="11"/>
  </w:num>
  <w:num w:numId="13">
    <w:abstractNumId w:val="7"/>
  </w:num>
  <w:num w:numId="14">
    <w:abstractNumId w:val="18"/>
  </w:num>
  <w:num w:numId="15">
    <w:abstractNumId w:val="4"/>
  </w:num>
  <w:num w:numId="16">
    <w:abstractNumId w:val="27"/>
  </w:num>
  <w:num w:numId="17">
    <w:abstractNumId w:val="23"/>
  </w:num>
  <w:num w:numId="18">
    <w:abstractNumId w:val="19"/>
  </w:num>
  <w:num w:numId="19">
    <w:abstractNumId w:val="12"/>
  </w:num>
  <w:num w:numId="20">
    <w:abstractNumId w:val="24"/>
  </w:num>
  <w:num w:numId="21">
    <w:abstractNumId w:val="21"/>
  </w:num>
  <w:num w:numId="22">
    <w:abstractNumId w:val="16"/>
  </w:num>
  <w:num w:numId="23">
    <w:abstractNumId w:val="3"/>
  </w:num>
  <w:num w:numId="24">
    <w:abstractNumId w:val="0"/>
  </w:num>
  <w:num w:numId="25">
    <w:abstractNumId w:val="20"/>
  </w:num>
  <w:num w:numId="26">
    <w:abstractNumId w:val="14"/>
  </w:num>
  <w:num w:numId="27">
    <w:abstractNumId w:val="1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43202C"/>
    <w:rsid w:val="1F835612"/>
    <w:rsid w:val="37FC4126"/>
    <w:rsid w:val="3F22449E"/>
    <w:rsid w:val="72B56DCF"/>
    <w:rsid w:val="7C555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2986</Words>
  <Characters>3318</Characters>
  <Lines>0</Lines>
  <Paragraphs>0</Paragraphs>
  <TotalTime>0</TotalTime>
  <ScaleCrop>false</ScaleCrop>
  <LinksUpToDate>false</LinksUpToDate>
  <CharactersWithSpaces>3673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2026-07-01T03:13:44Z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